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Department's logo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2016/29</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pPr>
      <w:r>
        <w:rPr/>
        <w:t>The following individuals have applied to the Comptroller-General of Customs for a customs broker licence.</w:t>
      </w:r>
    </w:p>
    <w:p>
      <w:pPr>
        <w:pStyle w:val="BodyText"/>
        <w:rPr>
          <w:sz w:val="22"/>
        </w:rPr>
      </w:pPr>
    </w:p>
    <w:p>
      <w:pPr>
        <w:pStyle w:val="BodyText"/>
        <w:spacing w:before="7"/>
        <w:rPr>
          <w:sz w:val="17"/>
        </w:rPr>
      </w:pPr>
    </w:p>
    <w:p>
      <w:pPr>
        <w:spacing w:before="1"/>
        <w:ind w:left="720" w:right="0" w:firstLine="0"/>
        <w:jc w:val="left"/>
        <w:rPr>
          <w:b/>
          <w:sz w:val="20"/>
        </w:rPr>
      </w:pPr>
      <w:r>
        <w:rPr>
          <w:b/>
          <w:sz w:val="20"/>
          <w:u w:val="single"/>
        </w:rPr>
        <w:t>INDIVIDUALS</w:t>
      </w:r>
    </w:p>
    <w:p>
      <w:pPr>
        <w:pStyle w:val="BodyText"/>
        <w:spacing w:line="237" w:lineRule="auto" w:before="99"/>
        <w:ind w:left="720" w:right="9311"/>
      </w:pPr>
      <w:r>
        <w:rPr/>
        <w:t>Hitesh  Bahri Jingying Tan Veronika </w:t>
      </w:r>
      <w:r>
        <w:rPr>
          <w:spacing w:val="-3"/>
        </w:rPr>
        <w:t>Prokhorova </w:t>
      </w:r>
      <w:r>
        <w:rPr/>
        <w:t>Michelle</w:t>
      </w:r>
      <w:r>
        <w:rPr>
          <w:spacing w:val="-5"/>
        </w:rPr>
        <w:t> </w:t>
      </w:r>
      <w:r>
        <w:rPr/>
        <w:t>Hoctor</w:t>
      </w:r>
    </w:p>
    <w:p>
      <w:pPr>
        <w:pStyle w:val="BodyText"/>
        <w:spacing w:before="4"/>
        <w:ind w:left="720" w:right="9802"/>
      </w:pPr>
      <w:r>
        <w:rPr/>
        <w:t>Jae Kwang Min Vincent Fu Anita Burke</w:t>
      </w:r>
    </w:p>
    <w:p>
      <w:pPr>
        <w:pStyle w:val="BodyText"/>
        <w:spacing w:before="1"/>
        <w:ind w:left="720" w:right="9613"/>
      </w:pPr>
      <w:r>
        <w:rPr/>
        <w:t>Brenton Maxwell Sarah Skryrec Shawn Solomons</w:t>
      </w:r>
    </w:p>
    <w:p>
      <w:pPr>
        <w:pStyle w:val="BodyText"/>
        <w:rPr>
          <w:sz w:val="22"/>
        </w:rPr>
      </w:pPr>
    </w:p>
    <w:p>
      <w:pPr>
        <w:pStyle w:val="BodyText"/>
        <w:rPr>
          <w:sz w:val="22"/>
        </w:rPr>
      </w:pPr>
    </w:p>
    <w:p>
      <w:pPr>
        <w:pStyle w:val="BodyText"/>
        <w:spacing w:line="235" w:lineRule="auto" w:before="191"/>
        <w:ind w:left="720" w:right="1542"/>
      </w:pPr>
      <w:r>
        <w:rPr/>
        <w:t>Any person wishing to make written representation in respect of any of these applications should address the correspondence by 23 September 2016 to:</w:t>
      </w:r>
    </w:p>
    <w:p>
      <w:pPr>
        <w:pStyle w:val="BodyText"/>
        <w:spacing w:before="7"/>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6"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1"/>
              <w:rPr>
                <w:sz w:val="20"/>
              </w:rPr>
            </w:pPr>
            <w:r>
              <w:rPr>
                <w:sz w:val="20"/>
              </w:rPr>
              <w:t>BELCONNEN ACT 2617</w:t>
            </w:r>
          </w:p>
        </w:tc>
        <w:tc>
          <w:tcPr>
            <w:tcW w:w="4214" w:type="dxa"/>
          </w:tcPr>
          <w:p>
            <w:pPr>
              <w:pStyle w:val="TableParagraph"/>
              <w:spacing w:before="4"/>
              <w:ind w:left="0"/>
              <w:rPr>
                <w:sz w:val="20"/>
              </w:rPr>
            </w:pPr>
          </w:p>
          <w:p>
            <w:pPr>
              <w:pStyle w:val="TableParagraph"/>
              <w:spacing w:before="1"/>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4"/>
        <w:rPr>
          <w:sz w:val="19"/>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
        <w:rPr>
          <w:sz w:val="27"/>
        </w:rPr>
      </w:pPr>
    </w:p>
    <w:p>
      <w:pPr>
        <w:pStyle w:val="BodyText"/>
        <w:ind w:left="720"/>
      </w:pPr>
      <w:r>
        <w:rPr/>
        <w:t>[signed]</w:t>
      </w:r>
    </w:p>
    <w:p>
      <w:pPr>
        <w:pStyle w:val="BodyText"/>
        <w:rPr>
          <w:sz w:val="22"/>
        </w:rPr>
      </w:pPr>
    </w:p>
    <w:p>
      <w:pPr>
        <w:pStyle w:val="BodyText"/>
        <w:rPr>
          <w:sz w:val="19"/>
        </w:rPr>
      </w:pPr>
    </w:p>
    <w:p>
      <w:pPr>
        <w:pStyle w:val="BodyText"/>
        <w:ind w:left="720" w:right="9311"/>
      </w:pPr>
      <w:r>
        <w:rPr/>
        <w:t>Suzie </w:t>
      </w:r>
      <w:r>
        <w:rPr>
          <w:spacing w:val="-3"/>
        </w:rPr>
        <w:t>Nermutova </w:t>
      </w:r>
      <w:r>
        <w:rPr/>
        <w:t>Director</w:t>
      </w:r>
    </w:p>
    <w:p>
      <w:pPr>
        <w:pStyle w:val="BodyText"/>
        <w:spacing w:before="1"/>
        <w:ind w:left="720" w:right="9311"/>
      </w:pPr>
      <w:r>
        <w:rPr/>
        <w:t>Ports Policy CANBERRA</w:t>
      </w:r>
      <w:r>
        <w:rPr>
          <w:spacing w:val="8"/>
        </w:rPr>
        <w:t> </w:t>
      </w:r>
      <w:r>
        <w:rPr>
          <w:spacing w:val="-8"/>
        </w:rPr>
        <w:t>ACT</w:t>
      </w:r>
    </w:p>
    <w:p>
      <w:pPr>
        <w:pStyle w:val="BodyText"/>
        <w:spacing w:before="1"/>
        <w:ind w:left="720"/>
      </w:pPr>
      <w:r>
        <w:rPr/>
        <w:t>6 September</w:t>
      </w:r>
      <w:r>
        <w:rPr>
          <w:spacing w:val="-3"/>
        </w:rPr>
        <w:t> </w:t>
      </w:r>
      <w:r>
        <w:rPr/>
        <w:t>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custom notices, DIBP</cp:keywords>
  <dc:subject>Custom notices</dc:subject>
  <dc:title>DIBP notice - 2016/29</dc:title>
  <dcterms:created xsi:type="dcterms:W3CDTF">2020-12-09T23:13:36Z</dcterms:created>
  <dcterms:modified xsi:type="dcterms:W3CDTF">2020-12-09T23:13:36Z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2016-09-07T00:00:00Z</vt:filetime>
  </property>
  <property fmtid="{D5CDD505-2E9C-101B-9397-08002B2CF9AE}" pid="3" name="LastSaved">
    <vt:filetime>2020-12-09T00:00:00Z</vt:filetime>
  </property>
</Properties>
</file>