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14"/>
        </w:rPr>
      </w:pPr>
      <w:r>
        <w:rPr/>
        <w:pict>
          <v:line style="position:absolute;mso-position-horizontal-relative:page;mso-position-vertical-relative:page;z-index:-15815680" from="48.080688pt,116.063164pt" to="582.737923pt,116.063164pt" stroked="true" strokeweight="8.410374pt" strokecolor="#000000">
            <v:stroke dashstyle="solid"/>
            <w10:wrap type="none"/>
          </v:line>
        </w:pict>
      </w:r>
    </w:p>
    <w:p>
      <w:pPr>
        <w:spacing w:before="92"/>
        <w:ind w:left="1890" w:right="0" w:firstLine="0"/>
        <w:jc w:val="left"/>
        <w:rPr>
          <w:rFonts w:ascii="Times New Roman"/>
          <w:b/>
          <w:sz w:val="20"/>
        </w:rPr>
      </w:pPr>
      <w:r>
        <w:rPr/>
        <w:drawing>
          <wp:anchor distT="0" distB="0" distL="0" distR="0" allowOverlap="1" layoutInCell="1" locked="0" behindDoc="0" simplePos="0" relativeHeight="15729664">
            <wp:simplePos x="0" y="0"/>
            <wp:positionH relativeFrom="page">
              <wp:posOffset>1062486</wp:posOffset>
            </wp:positionH>
            <wp:positionV relativeFrom="paragraph">
              <wp:posOffset>-106827</wp:posOffset>
            </wp:positionV>
            <wp:extent cx="769387" cy="56152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69387" cy="561524"/>
                    </a:xfrm>
                    <a:prstGeom prst="rect">
                      <a:avLst/>
                    </a:prstGeom>
                  </pic:spPr>
                </pic:pic>
              </a:graphicData>
            </a:graphic>
          </wp:anchor>
        </w:drawing>
      </w:r>
      <w:bookmarkStart w:name="Page 1" w:id="1"/>
      <w:bookmarkEnd w:id="1"/>
      <w:r>
        <w:rPr/>
      </w:r>
      <w:r>
        <w:rPr>
          <w:rFonts w:ascii="Times New Roman"/>
          <w:b/>
          <w:color w:val="3B3B3B"/>
          <w:w w:val="105"/>
          <w:sz w:val="20"/>
          <w:u w:val="thick" w:color="3B3B3B"/>
        </w:rPr>
        <w:t>Australian Government</w:t>
      </w:r>
    </w:p>
    <w:p>
      <w:pPr>
        <w:spacing w:before="130"/>
        <w:ind w:left="1873" w:right="5250" w:firstLine="6"/>
        <w:jc w:val="left"/>
        <w:rPr>
          <w:rFonts w:ascii="Times New Roman"/>
          <w:b/>
          <w:sz w:val="20"/>
        </w:rPr>
      </w:pPr>
      <w:r>
        <w:rPr>
          <w:rFonts w:ascii="Times New Roman"/>
          <w:b/>
          <w:color w:val="3B3B3B"/>
          <w:sz w:val="20"/>
        </w:rPr>
        <w:t>Department of Immigration and Border Protection</w:t>
      </w:r>
    </w:p>
    <w:p>
      <w:pPr>
        <w:pStyle w:val="BodyText"/>
        <w:rPr>
          <w:rFonts w:ascii="Times New Roman"/>
          <w:b/>
          <w:sz w:val="20"/>
        </w:rPr>
      </w:pPr>
    </w:p>
    <w:p>
      <w:pPr>
        <w:pStyle w:val="BodyText"/>
        <w:rPr>
          <w:rFonts w:ascii="Times New Roman"/>
          <w:b/>
          <w:sz w:val="20"/>
        </w:rPr>
      </w:pPr>
    </w:p>
    <w:p>
      <w:pPr>
        <w:pStyle w:val="BodyText"/>
        <w:spacing w:before="5"/>
        <w:rPr>
          <w:rFonts w:ascii="Times New Roman"/>
          <w:b/>
          <w:sz w:val="20"/>
        </w:rPr>
      </w:pPr>
    </w:p>
    <w:p>
      <w:pPr>
        <w:pStyle w:val="Heading1"/>
        <w:spacing w:before="94"/>
        <w:ind w:left="545" w:right="548"/>
        <w:jc w:val="center"/>
      </w:pPr>
      <w:r>
        <w:rPr>
          <w:color w:val="3B3B3B"/>
          <w:w w:val="105"/>
        </w:rPr>
        <w:t>DEPARTMENT OF IMMIGRATION AND BORDER PROTECTION NOTICE</w:t>
      </w:r>
    </w:p>
    <w:p>
      <w:pPr>
        <w:pStyle w:val="BodyText"/>
        <w:spacing w:before="3"/>
        <w:rPr>
          <w:b/>
          <w:sz w:val="18"/>
        </w:rPr>
      </w:pPr>
    </w:p>
    <w:p>
      <w:pPr>
        <w:spacing w:before="0"/>
        <w:ind w:left="551" w:right="101" w:firstLine="0"/>
        <w:jc w:val="center"/>
        <w:rPr>
          <w:b/>
          <w:sz w:val="21"/>
        </w:rPr>
      </w:pPr>
      <w:r>
        <w:rPr/>
        <w:pict>
          <v:shape style="position:absolute;margin-left:106.73912pt;margin-top:16.577099pt;width:405.85pt;height:.1pt;mso-position-horizontal-relative:page;mso-position-vertical-relative:paragraph;z-index:-15728640;mso-wrap-distance-left:0;mso-wrap-distance-right:0" coordorigin="2135,332" coordsize="8117,0" path="m2135,332l10251,332e" filled="false" stroked="true" strokeweight=".480593pt" strokecolor="#000000">
            <v:path arrowok="t"/>
            <v:stroke dashstyle="solid"/>
            <w10:wrap type="topAndBottom"/>
          </v:shape>
        </w:pict>
      </w:r>
      <w:r>
        <w:rPr>
          <w:b/>
          <w:color w:val="3B3B3B"/>
          <w:w w:val="105"/>
          <w:sz w:val="21"/>
        </w:rPr>
        <w:t>No.2016/33</w:t>
      </w:r>
    </w:p>
    <w:p>
      <w:pPr>
        <w:pStyle w:val="BodyText"/>
        <w:spacing w:before="6"/>
        <w:rPr>
          <w:b/>
          <w:sz w:val="22"/>
        </w:rPr>
      </w:pPr>
    </w:p>
    <w:p>
      <w:pPr>
        <w:pStyle w:val="Heading1"/>
        <w:spacing w:line="252" w:lineRule="auto"/>
        <w:ind w:right="548"/>
        <w:jc w:val="center"/>
      </w:pPr>
      <w:r>
        <w:rPr>
          <w:color w:val="3B3B3B"/>
        </w:rPr>
        <w:t>DECLARING OVERSEAS FREIGHT AND INSURANCE FOR CUSTOMS VALUATION AND VALUE OF THE TAXABLE IMPORTATION PURPOSES</w:t>
      </w:r>
    </w:p>
    <w:p>
      <w:pPr>
        <w:spacing w:before="122"/>
        <w:ind w:left="261" w:right="0" w:firstLine="0"/>
        <w:jc w:val="left"/>
        <w:rPr>
          <w:b/>
          <w:sz w:val="21"/>
        </w:rPr>
      </w:pPr>
      <w:r>
        <w:rPr>
          <w:b/>
          <w:color w:val="3B3B3B"/>
          <w:w w:val="105"/>
          <w:sz w:val="21"/>
        </w:rPr>
        <w:t>Purpose</w:t>
      </w:r>
    </w:p>
    <w:p>
      <w:pPr>
        <w:pStyle w:val="BodyText"/>
        <w:spacing w:before="10"/>
        <w:rPr>
          <w:b/>
          <w:sz w:val="22"/>
        </w:rPr>
      </w:pPr>
    </w:p>
    <w:p>
      <w:pPr>
        <w:pStyle w:val="ListParagraph"/>
        <w:numPr>
          <w:ilvl w:val="0"/>
          <w:numId w:val="1"/>
        </w:numPr>
        <w:tabs>
          <w:tab w:pos="503" w:val="left" w:leader="none"/>
        </w:tabs>
        <w:spacing w:line="252" w:lineRule="auto" w:before="1" w:after="0"/>
        <w:ind w:left="542" w:right="617" w:hanging="284"/>
        <w:jc w:val="left"/>
        <w:rPr>
          <w:sz w:val="21"/>
        </w:rPr>
      </w:pPr>
      <w:r>
        <w:rPr>
          <w:color w:val="3B3B3B"/>
          <w:w w:val="105"/>
          <w:sz w:val="21"/>
        </w:rPr>
        <w:t>To</w:t>
      </w:r>
      <w:r>
        <w:rPr>
          <w:color w:val="3B3B3B"/>
          <w:spacing w:val="-16"/>
          <w:w w:val="105"/>
          <w:sz w:val="21"/>
        </w:rPr>
        <w:t> </w:t>
      </w:r>
      <w:r>
        <w:rPr>
          <w:color w:val="3B3B3B"/>
          <w:w w:val="105"/>
          <w:sz w:val="21"/>
        </w:rPr>
        <w:t>provide</w:t>
      </w:r>
      <w:r>
        <w:rPr>
          <w:color w:val="3B3B3B"/>
          <w:spacing w:val="-9"/>
          <w:w w:val="105"/>
          <w:sz w:val="21"/>
        </w:rPr>
        <w:t> </w:t>
      </w:r>
      <w:r>
        <w:rPr>
          <w:color w:val="3B3B3B"/>
          <w:w w:val="105"/>
          <w:sz w:val="21"/>
        </w:rPr>
        <w:t>advice</w:t>
      </w:r>
      <w:r>
        <w:rPr>
          <w:color w:val="3B3B3B"/>
          <w:spacing w:val="-9"/>
          <w:w w:val="105"/>
          <w:sz w:val="21"/>
        </w:rPr>
        <w:t> </w:t>
      </w:r>
      <w:r>
        <w:rPr>
          <w:color w:val="3B3B3B"/>
          <w:w w:val="105"/>
          <w:sz w:val="21"/>
        </w:rPr>
        <w:t>for</w:t>
      </w:r>
      <w:r>
        <w:rPr>
          <w:color w:val="3B3B3B"/>
          <w:spacing w:val="-10"/>
          <w:w w:val="105"/>
          <w:sz w:val="21"/>
        </w:rPr>
        <w:t> </w:t>
      </w:r>
      <w:r>
        <w:rPr>
          <w:color w:val="3B3B3B"/>
          <w:w w:val="105"/>
          <w:sz w:val="21"/>
        </w:rPr>
        <w:t>importers</w:t>
      </w:r>
      <w:r>
        <w:rPr>
          <w:color w:val="3B3B3B"/>
          <w:spacing w:val="-1"/>
          <w:w w:val="105"/>
          <w:sz w:val="21"/>
        </w:rPr>
        <w:t> </w:t>
      </w:r>
      <w:r>
        <w:rPr>
          <w:color w:val="3B3B3B"/>
          <w:w w:val="105"/>
          <w:sz w:val="21"/>
        </w:rPr>
        <w:t>about</w:t>
      </w:r>
      <w:r>
        <w:rPr>
          <w:color w:val="3B3B3B"/>
          <w:spacing w:val="-5"/>
          <w:w w:val="105"/>
          <w:sz w:val="21"/>
        </w:rPr>
        <w:t> </w:t>
      </w:r>
      <w:r>
        <w:rPr>
          <w:color w:val="3B3B3B"/>
          <w:w w:val="105"/>
          <w:sz w:val="21"/>
        </w:rPr>
        <w:t>the</w:t>
      </w:r>
      <w:r>
        <w:rPr>
          <w:color w:val="3B3B3B"/>
          <w:spacing w:val="-11"/>
          <w:w w:val="105"/>
          <w:sz w:val="21"/>
        </w:rPr>
        <w:t> </w:t>
      </w:r>
      <w:r>
        <w:rPr>
          <w:color w:val="3B3B3B"/>
          <w:w w:val="105"/>
          <w:sz w:val="21"/>
        </w:rPr>
        <w:t>calculation</w:t>
      </w:r>
      <w:r>
        <w:rPr>
          <w:color w:val="3B3B3B"/>
          <w:spacing w:val="-8"/>
          <w:w w:val="105"/>
          <w:sz w:val="21"/>
        </w:rPr>
        <w:t> </w:t>
      </w:r>
      <w:r>
        <w:rPr>
          <w:color w:val="3B3B3B"/>
          <w:w w:val="105"/>
          <w:sz w:val="21"/>
        </w:rPr>
        <w:t>of</w:t>
      </w:r>
      <w:r>
        <w:rPr>
          <w:color w:val="3B3B3B"/>
          <w:spacing w:val="-11"/>
          <w:w w:val="105"/>
          <w:sz w:val="21"/>
        </w:rPr>
        <w:t> </w:t>
      </w:r>
      <w:r>
        <w:rPr>
          <w:color w:val="3B3B3B"/>
          <w:w w:val="105"/>
          <w:sz w:val="21"/>
        </w:rPr>
        <w:t>overseas</w:t>
      </w:r>
      <w:r>
        <w:rPr>
          <w:color w:val="3B3B3B"/>
          <w:spacing w:val="-6"/>
          <w:w w:val="105"/>
          <w:sz w:val="21"/>
        </w:rPr>
        <w:t> </w:t>
      </w:r>
      <w:r>
        <w:rPr>
          <w:color w:val="3B3B3B"/>
          <w:w w:val="105"/>
          <w:sz w:val="21"/>
        </w:rPr>
        <w:t>freight</w:t>
      </w:r>
      <w:r>
        <w:rPr>
          <w:color w:val="3B3B3B"/>
          <w:spacing w:val="-7"/>
          <w:w w:val="105"/>
          <w:sz w:val="21"/>
        </w:rPr>
        <w:t> </w:t>
      </w:r>
      <w:r>
        <w:rPr>
          <w:color w:val="3B3B3B"/>
          <w:w w:val="105"/>
          <w:sz w:val="21"/>
        </w:rPr>
        <w:t>and</w:t>
      </w:r>
      <w:r>
        <w:rPr>
          <w:color w:val="3B3B3B"/>
          <w:spacing w:val="-13"/>
          <w:w w:val="105"/>
          <w:sz w:val="21"/>
        </w:rPr>
        <w:t> </w:t>
      </w:r>
      <w:r>
        <w:rPr>
          <w:color w:val="4F4F4F"/>
          <w:w w:val="105"/>
          <w:sz w:val="21"/>
        </w:rPr>
        <w:t>insurance</w:t>
      </w:r>
      <w:r>
        <w:rPr>
          <w:color w:val="4F4F4F"/>
          <w:spacing w:val="-5"/>
          <w:w w:val="105"/>
          <w:sz w:val="21"/>
        </w:rPr>
        <w:t> </w:t>
      </w:r>
      <w:r>
        <w:rPr>
          <w:color w:val="4F4F4F"/>
          <w:w w:val="105"/>
          <w:sz w:val="21"/>
        </w:rPr>
        <w:t>for</w:t>
      </w:r>
      <w:r>
        <w:rPr>
          <w:color w:val="3B3B3B"/>
          <w:w w:val="105"/>
          <w:sz w:val="21"/>
        </w:rPr>
        <w:t> customs valuation purposes when the amounts for overseas freight and insurance are unknown at the time of</w:t>
      </w:r>
      <w:r>
        <w:rPr>
          <w:color w:val="3B3B3B"/>
          <w:spacing w:val="10"/>
          <w:w w:val="105"/>
          <w:sz w:val="21"/>
        </w:rPr>
        <w:t> </w:t>
      </w:r>
      <w:r>
        <w:rPr>
          <w:color w:val="3B3B3B"/>
          <w:w w:val="105"/>
          <w:sz w:val="21"/>
        </w:rPr>
        <w:t>importation.</w:t>
      </w:r>
    </w:p>
    <w:p>
      <w:pPr>
        <w:pStyle w:val="BodyText"/>
        <w:rPr>
          <w:sz w:val="22"/>
        </w:rPr>
      </w:pPr>
    </w:p>
    <w:p>
      <w:pPr>
        <w:pStyle w:val="ListParagraph"/>
        <w:numPr>
          <w:ilvl w:val="0"/>
          <w:numId w:val="1"/>
        </w:numPr>
        <w:tabs>
          <w:tab w:pos="508" w:val="left" w:leader="none"/>
        </w:tabs>
        <w:spacing w:line="249" w:lineRule="auto" w:before="0" w:after="0"/>
        <w:ind w:left="540" w:right="399" w:hanging="279"/>
        <w:jc w:val="left"/>
        <w:rPr>
          <w:sz w:val="21"/>
        </w:rPr>
      </w:pPr>
      <w:r>
        <w:rPr>
          <w:color w:val="3B3B3B"/>
          <w:w w:val="105"/>
          <w:sz w:val="21"/>
        </w:rPr>
        <w:t>To explain the impact of an additional option when determining the value of the </w:t>
      </w:r>
      <w:r>
        <w:rPr>
          <w:color w:val="4F4F4F"/>
          <w:w w:val="105"/>
          <w:sz w:val="21"/>
        </w:rPr>
        <w:t>taxable</w:t>
      </w:r>
      <w:r>
        <w:rPr>
          <w:color w:val="3B3B3B"/>
          <w:w w:val="105"/>
          <w:sz w:val="21"/>
        </w:rPr>
        <w:t> importation (VoTl), allowed by the </w:t>
      </w:r>
      <w:r>
        <w:rPr>
          <w:i/>
          <w:color w:val="3B3B3B"/>
          <w:w w:val="105"/>
          <w:sz w:val="21"/>
        </w:rPr>
        <w:t>Tax and Superannuation Laws Amendment (2016 Measures</w:t>
      </w:r>
      <w:r>
        <w:rPr>
          <w:i/>
          <w:color w:val="3B3B3B"/>
          <w:spacing w:val="-3"/>
          <w:w w:val="105"/>
          <w:sz w:val="21"/>
        </w:rPr>
        <w:t> </w:t>
      </w:r>
      <w:r>
        <w:rPr>
          <w:i/>
          <w:color w:val="3B3B3B"/>
          <w:w w:val="105"/>
          <w:sz w:val="21"/>
        </w:rPr>
        <w:t>No.1)</w:t>
      </w:r>
      <w:r>
        <w:rPr>
          <w:i/>
          <w:color w:val="3B3B3B"/>
          <w:spacing w:val="-2"/>
          <w:w w:val="105"/>
          <w:sz w:val="21"/>
        </w:rPr>
        <w:t> </w:t>
      </w:r>
      <w:r>
        <w:rPr>
          <w:i/>
          <w:color w:val="3B3B3B"/>
          <w:w w:val="105"/>
          <w:sz w:val="21"/>
        </w:rPr>
        <w:t>Act</w:t>
      </w:r>
      <w:r>
        <w:rPr>
          <w:i/>
          <w:color w:val="3B3B3B"/>
          <w:spacing w:val="-10"/>
          <w:w w:val="105"/>
          <w:sz w:val="21"/>
        </w:rPr>
        <w:t> </w:t>
      </w:r>
      <w:r>
        <w:rPr>
          <w:i/>
          <w:color w:val="3B3B3B"/>
          <w:w w:val="105"/>
          <w:sz w:val="21"/>
        </w:rPr>
        <w:t>2016</w:t>
      </w:r>
      <w:r>
        <w:rPr>
          <w:i/>
          <w:color w:val="3B3B3B"/>
          <w:spacing w:val="-6"/>
          <w:w w:val="105"/>
          <w:sz w:val="21"/>
        </w:rPr>
        <w:t> </w:t>
      </w:r>
      <w:r>
        <w:rPr>
          <w:color w:val="3B3B3B"/>
          <w:w w:val="105"/>
          <w:sz w:val="21"/>
        </w:rPr>
        <w:t>(the</w:t>
      </w:r>
      <w:r>
        <w:rPr>
          <w:color w:val="3B3B3B"/>
          <w:spacing w:val="-13"/>
          <w:w w:val="105"/>
          <w:sz w:val="21"/>
        </w:rPr>
        <w:t> </w:t>
      </w:r>
      <w:r>
        <w:rPr>
          <w:color w:val="3B3B3B"/>
          <w:w w:val="105"/>
          <w:sz w:val="21"/>
        </w:rPr>
        <w:t>amending</w:t>
      </w:r>
      <w:r>
        <w:rPr>
          <w:color w:val="3B3B3B"/>
          <w:spacing w:val="1"/>
          <w:w w:val="105"/>
          <w:sz w:val="21"/>
        </w:rPr>
        <w:t> </w:t>
      </w:r>
      <w:r>
        <w:rPr>
          <w:color w:val="3B3B3B"/>
          <w:w w:val="105"/>
          <w:sz w:val="21"/>
        </w:rPr>
        <w:t>Act),</w:t>
      </w:r>
      <w:r>
        <w:rPr>
          <w:color w:val="3B3B3B"/>
          <w:spacing w:val="-4"/>
          <w:w w:val="105"/>
          <w:sz w:val="21"/>
        </w:rPr>
        <w:t> </w:t>
      </w:r>
      <w:r>
        <w:rPr>
          <w:color w:val="3B3B3B"/>
          <w:w w:val="105"/>
          <w:sz w:val="21"/>
        </w:rPr>
        <w:t>which</w:t>
      </w:r>
      <w:r>
        <w:rPr>
          <w:color w:val="3B3B3B"/>
          <w:spacing w:val="-8"/>
          <w:w w:val="105"/>
          <w:sz w:val="21"/>
        </w:rPr>
        <w:t> </w:t>
      </w:r>
      <w:r>
        <w:rPr>
          <w:color w:val="3B3B3B"/>
          <w:w w:val="105"/>
          <w:sz w:val="21"/>
        </w:rPr>
        <w:t>received</w:t>
      </w:r>
      <w:r>
        <w:rPr>
          <w:color w:val="3B3B3B"/>
          <w:spacing w:val="-8"/>
          <w:w w:val="105"/>
          <w:sz w:val="21"/>
        </w:rPr>
        <w:t> </w:t>
      </w:r>
      <w:r>
        <w:rPr>
          <w:color w:val="3B3B3B"/>
          <w:w w:val="105"/>
          <w:sz w:val="21"/>
        </w:rPr>
        <w:t>Royal</w:t>
      </w:r>
      <w:r>
        <w:rPr>
          <w:color w:val="3B3B3B"/>
          <w:spacing w:val="-8"/>
          <w:w w:val="105"/>
          <w:sz w:val="21"/>
        </w:rPr>
        <w:t> </w:t>
      </w:r>
      <w:r>
        <w:rPr>
          <w:color w:val="3B3B3B"/>
          <w:w w:val="105"/>
          <w:sz w:val="21"/>
        </w:rPr>
        <w:t>Assent on</w:t>
      </w:r>
      <w:r>
        <w:rPr>
          <w:color w:val="3B3B3B"/>
          <w:spacing w:val="-16"/>
          <w:w w:val="105"/>
          <w:sz w:val="21"/>
        </w:rPr>
        <w:t> </w:t>
      </w:r>
      <w:r>
        <w:rPr>
          <w:color w:val="3B3B3B"/>
          <w:w w:val="105"/>
          <w:sz w:val="21"/>
        </w:rPr>
        <w:t>5</w:t>
      </w:r>
      <w:r>
        <w:rPr>
          <w:color w:val="3B3B3B"/>
          <w:spacing w:val="-16"/>
          <w:w w:val="105"/>
          <w:sz w:val="21"/>
        </w:rPr>
        <w:t> </w:t>
      </w:r>
      <w:r>
        <w:rPr>
          <w:color w:val="3B3B3B"/>
          <w:w w:val="105"/>
          <w:sz w:val="21"/>
        </w:rPr>
        <w:t>May</w:t>
      </w:r>
      <w:r>
        <w:rPr>
          <w:color w:val="3B3B3B"/>
          <w:spacing w:val="-10"/>
          <w:w w:val="105"/>
          <w:sz w:val="21"/>
        </w:rPr>
        <w:t> </w:t>
      </w:r>
      <w:r>
        <w:rPr>
          <w:color w:val="3B3B3B"/>
          <w:w w:val="105"/>
          <w:sz w:val="21"/>
        </w:rPr>
        <w:t>2016.</w:t>
      </w:r>
    </w:p>
    <w:p>
      <w:pPr>
        <w:pStyle w:val="BodyText"/>
        <w:spacing w:before="7"/>
        <w:rPr>
          <w:sz w:val="22"/>
        </w:rPr>
      </w:pPr>
    </w:p>
    <w:p>
      <w:pPr>
        <w:pStyle w:val="BodyText"/>
        <w:spacing w:line="252" w:lineRule="auto" w:before="1"/>
        <w:ind w:left="262" w:right="26" w:hanging="6"/>
      </w:pPr>
      <w:r>
        <w:rPr>
          <w:color w:val="3B3B3B"/>
          <w:w w:val="105"/>
        </w:rPr>
        <w:t>This Notice supersedes Australian Customs Notices (ACNs) 2005/23 and 1990/71 and any previous notices on overseas freight and insurance for the purposes of calculating customs value.</w:t>
      </w:r>
    </w:p>
    <w:p>
      <w:pPr>
        <w:pStyle w:val="BodyText"/>
        <w:spacing w:before="10"/>
      </w:pPr>
    </w:p>
    <w:p>
      <w:pPr>
        <w:pStyle w:val="Heading1"/>
        <w:ind w:left="257"/>
      </w:pPr>
      <w:r>
        <w:rPr>
          <w:color w:val="3B3B3B"/>
          <w:w w:val="105"/>
        </w:rPr>
        <w:t>Calculating Customs Value</w:t>
      </w:r>
    </w:p>
    <w:p>
      <w:pPr>
        <w:pStyle w:val="BodyText"/>
        <w:spacing w:before="4"/>
        <w:rPr>
          <w:b/>
          <w:sz w:val="23"/>
        </w:rPr>
      </w:pPr>
    </w:p>
    <w:p>
      <w:pPr>
        <w:pStyle w:val="BodyText"/>
        <w:spacing w:line="252" w:lineRule="auto"/>
        <w:ind w:left="258" w:right="131" w:hanging="2"/>
      </w:pPr>
      <w:r>
        <w:rPr>
          <w:color w:val="3B3B3B"/>
          <w:w w:val="105"/>
        </w:rPr>
        <w:t>Customs value </w:t>
      </w:r>
      <w:r>
        <w:rPr>
          <w:color w:val="4F4F4F"/>
          <w:w w:val="105"/>
        </w:rPr>
        <w:t>is </w:t>
      </w:r>
      <w:r>
        <w:rPr>
          <w:color w:val="3B3B3B"/>
          <w:w w:val="105"/>
        </w:rPr>
        <w:t>used as the basis for calculating customs duty. The relevant customs valuation legislation is contained in Division 2 of Part VIII of the </w:t>
      </w:r>
      <w:r>
        <w:rPr>
          <w:i/>
          <w:color w:val="3B3B3B"/>
          <w:w w:val="105"/>
        </w:rPr>
        <w:t>Customs Act 1901 </w:t>
      </w:r>
      <w:r>
        <w:rPr>
          <w:color w:val="3B3B3B"/>
          <w:w w:val="105"/>
        </w:rPr>
        <w:t>(the Customs Act).</w:t>
      </w:r>
    </w:p>
    <w:p>
      <w:pPr>
        <w:pStyle w:val="BodyText"/>
        <w:spacing w:before="4"/>
        <w:rPr>
          <w:sz w:val="22"/>
        </w:rPr>
      </w:pPr>
    </w:p>
    <w:p>
      <w:pPr>
        <w:pStyle w:val="BodyText"/>
        <w:spacing w:line="252" w:lineRule="auto"/>
        <w:ind w:left="257" w:right="167" w:hanging="1"/>
      </w:pPr>
      <w:r>
        <w:rPr>
          <w:color w:val="3B3B3B"/>
          <w:w w:val="105"/>
        </w:rPr>
        <w:t>The amending Act does not affect the way customs value is calculated or the information, </w:t>
      </w:r>
      <w:r>
        <w:rPr>
          <w:color w:val="4F4F4F"/>
          <w:w w:val="105"/>
        </w:rPr>
        <w:t>including </w:t>
      </w:r>
      <w:r>
        <w:rPr>
          <w:color w:val="3B3B3B"/>
          <w:w w:val="105"/>
        </w:rPr>
        <w:t>the overseas transport and insurance amounts, that the Department requires for determining customs value in accordance with the Customs Act. This is of particular significance for Cost Insurance Freight (CIF), Cost and Freight (CFR) and similar contracts, where the overseas freight and insurance amounts are included in the contract price.</w:t>
      </w:r>
    </w:p>
    <w:p>
      <w:pPr>
        <w:pStyle w:val="BodyText"/>
        <w:spacing w:before="9"/>
      </w:pPr>
    </w:p>
    <w:p>
      <w:pPr>
        <w:pStyle w:val="BodyText"/>
        <w:spacing w:line="252" w:lineRule="auto"/>
        <w:ind w:left="255" w:firstLine="3"/>
      </w:pPr>
      <w:r>
        <w:rPr>
          <w:color w:val="3B3B3B"/>
          <w:w w:val="105"/>
        </w:rPr>
        <w:t>For Free on Board (FOB) contracts, the </w:t>
      </w:r>
      <w:r>
        <w:rPr>
          <w:color w:val="4F4F4F"/>
          <w:w w:val="105"/>
        </w:rPr>
        <w:t>invoice </w:t>
      </w:r>
      <w:r>
        <w:rPr>
          <w:color w:val="3B3B3B"/>
          <w:w w:val="105"/>
        </w:rPr>
        <w:t>amount does not include the cost of overseas freight and overseas insurance.</w:t>
      </w:r>
      <w:r>
        <w:rPr>
          <w:rFonts w:ascii="Times New Roman"/>
          <w:color w:val="3B3B3B"/>
          <w:w w:val="105"/>
          <w:vertAlign w:val="superscript"/>
        </w:rPr>
        <w:t>1</w:t>
      </w:r>
      <w:r>
        <w:rPr>
          <w:rFonts w:ascii="Times New Roman"/>
          <w:color w:val="3B3B3B"/>
          <w:w w:val="105"/>
          <w:vertAlign w:val="baseline"/>
        </w:rPr>
        <w:t> </w:t>
      </w:r>
      <w:r>
        <w:rPr>
          <w:color w:val="3B3B3B"/>
          <w:w w:val="105"/>
          <w:vertAlign w:val="baseline"/>
        </w:rPr>
        <w:t>Subject to any additions or deductions in accordance with the Customs Act, the FOB amount as shown on the invoice will, in most circumstances, be the customs value.</w:t>
      </w:r>
    </w:p>
    <w:p>
      <w:pPr>
        <w:pStyle w:val="BodyText"/>
        <w:spacing w:before="11"/>
        <w:rPr>
          <w:sz w:val="13"/>
        </w:rPr>
      </w:pPr>
    </w:p>
    <w:p>
      <w:pPr>
        <w:pStyle w:val="BodyText"/>
        <w:spacing w:line="252" w:lineRule="auto" w:before="94"/>
        <w:ind w:left="259" w:right="697" w:hanging="5"/>
      </w:pPr>
      <w:r>
        <w:rPr>
          <w:color w:val="3B3B3B"/>
          <w:w w:val="105"/>
          <w:u w:val="thick" w:color="3B3B3B"/>
        </w:rPr>
        <w:t>What if the importer does not know the overseas freight and insurance amount for customs</w:t>
      </w:r>
      <w:r>
        <w:rPr>
          <w:color w:val="3B3B3B"/>
          <w:w w:val="105"/>
        </w:rPr>
        <w:t> </w:t>
      </w:r>
      <w:r>
        <w:rPr>
          <w:color w:val="3B3B3B"/>
          <w:w w:val="105"/>
          <w:u w:val="thick" w:color="3B3B3B"/>
        </w:rPr>
        <w:t>valuation purposes?</w:t>
      </w:r>
    </w:p>
    <w:p>
      <w:pPr>
        <w:pStyle w:val="BodyText"/>
        <w:spacing w:before="10"/>
      </w:pPr>
    </w:p>
    <w:p>
      <w:pPr>
        <w:pStyle w:val="BodyText"/>
        <w:spacing w:line="252" w:lineRule="auto"/>
        <w:ind w:left="253" w:right="697" w:hanging="2"/>
      </w:pPr>
      <w:r>
        <w:rPr>
          <w:color w:val="3B3B3B"/>
          <w:w w:val="105"/>
        </w:rPr>
        <w:t>The calculation of customs value requires the use of actual figures paid or payable for overseas freight and insurance. However, the Department recognises that in some circumstances, the amount paid or payable for overseas freight and insurance:</w:t>
      </w:r>
    </w:p>
    <w:p>
      <w:pPr>
        <w:pStyle w:val="BodyText"/>
        <w:spacing w:before="4"/>
        <w:rPr>
          <w:sz w:val="20"/>
        </w:rPr>
      </w:pPr>
    </w:p>
    <w:p>
      <w:pPr>
        <w:pStyle w:val="ListParagraph"/>
        <w:numPr>
          <w:ilvl w:val="0"/>
          <w:numId w:val="2"/>
        </w:numPr>
        <w:tabs>
          <w:tab w:pos="824" w:val="left" w:leader="none"/>
          <w:tab w:pos="825" w:val="left" w:leader="none"/>
        </w:tabs>
        <w:spacing w:line="240" w:lineRule="auto" w:before="0" w:after="0"/>
        <w:ind w:left="824" w:right="0" w:hanging="286"/>
        <w:jc w:val="left"/>
        <w:rPr>
          <w:color w:val="3B3B3B"/>
          <w:sz w:val="21"/>
        </w:rPr>
      </w:pPr>
      <w:r>
        <w:rPr>
          <w:color w:val="3B3B3B"/>
          <w:w w:val="105"/>
          <w:sz w:val="21"/>
        </w:rPr>
        <w:t>will not be known at the time the import declaration is prepared;</w:t>
      </w:r>
      <w:r>
        <w:rPr>
          <w:color w:val="3B3B3B"/>
          <w:spacing w:val="29"/>
          <w:w w:val="105"/>
          <w:sz w:val="21"/>
        </w:rPr>
        <w:t> </w:t>
      </w:r>
      <w:r>
        <w:rPr>
          <w:color w:val="3B3B3B"/>
          <w:w w:val="105"/>
          <w:sz w:val="21"/>
        </w:rPr>
        <w:t>or</w:t>
      </w:r>
    </w:p>
    <w:p>
      <w:pPr>
        <w:pStyle w:val="BodyText"/>
        <w:spacing w:before="6"/>
        <w:rPr>
          <w:sz w:val="19"/>
        </w:rPr>
      </w:pPr>
    </w:p>
    <w:p>
      <w:pPr>
        <w:pStyle w:val="ListParagraph"/>
        <w:numPr>
          <w:ilvl w:val="0"/>
          <w:numId w:val="2"/>
        </w:numPr>
        <w:tabs>
          <w:tab w:pos="825" w:val="left" w:leader="none"/>
          <w:tab w:pos="826" w:val="left" w:leader="none"/>
        </w:tabs>
        <w:spacing w:line="240" w:lineRule="auto" w:before="1" w:after="0"/>
        <w:ind w:left="825" w:right="0" w:hanging="287"/>
        <w:jc w:val="left"/>
        <w:rPr>
          <w:color w:val="3B3B3B"/>
          <w:sz w:val="21"/>
        </w:rPr>
      </w:pPr>
      <w:r>
        <w:rPr>
          <w:color w:val="3B3B3B"/>
          <w:w w:val="105"/>
          <w:sz w:val="21"/>
        </w:rPr>
        <w:t>may never be</w:t>
      </w:r>
      <w:r>
        <w:rPr>
          <w:color w:val="3B3B3B"/>
          <w:spacing w:val="2"/>
          <w:w w:val="105"/>
          <w:sz w:val="21"/>
        </w:rPr>
        <w:t> </w:t>
      </w:r>
      <w:r>
        <w:rPr>
          <w:color w:val="3B3B3B"/>
          <w:w w:val="105"/>
          <w:sz w:val="21"/>
        </w:rPr>
        <w:t>known.</w:t>
      </w:r>
    </w:p>
    <w:p>
      <w:pPr>
        <w:pStyle w:val="BodyText"/>
        <w:spacing w:before="4"/>
        <w:rPr>
          <w:sz w:val="20"/>
        </w:rPr>
      </w:pPr>
    </w:p>
    <w:p>
      <w:pPr>
        <w:pStyle w:val="BodyText"/>
        <w:spacing w:line="252" w:lineRule="auto"/>
        <w:ind w:left="253" w:right="687" w:hanging="2"/>
      </w:pPr>
      <w:r>
        <w:rPr/>
        <w:pict>
          <v:line style="position:absolute;mso-position-horizontal-relative:page;mso-position-vertical-relative:paragraph;z-index:15730688" from="425.033264pt,127.593872pt" to="457.728131pt,127.593872pt" stroked="true" strokeweight=".480593pt" strokecolor="#000000">
            <v:stroke dashstyle="solid"/>
            <w10:wrap type="none"/>
          </v:line>
        </w:pict>
      </w:r>
      <w:r>
        <w:rPr/>
        <w:pict>
          <v:line style="position:absolute;mso-position-horizontal-relative:page;mso-position-vertical-relative:paragraph;z-index:15731200" from="208.670181pt,127.593872pt" to="371.182902pt,127.593872pt" stroked="true" strokeweight=".240296pt" strokecolor="#000000">
            <v:stroke dashstyle="solid"/>
            <w10:wrap type="none"/>
          </v:line>
        </w:pict>
      </w:r>
      <w:r>
        <w:rPr>
          <w:color w:val="3B3B3B"/>
          <w:w w:val="105"/>
        </w:rPr>
        <w:t>If owners wish to obtain customs clearance before accurate information about the transport or insurance costs is available or in situations where it may never be known, they may choose to use an estimate.</w:t>
      </w:r>
    </w:p>
    <w:p>
      <w:pPr>
        <w:pStyle w:val="BodyText"/>
        <w:spacing w:before="9"/>
        <w:rPr>
          <w:sz w:val="22"/>
        </w:rPr>
      </w:pPr>
      <w:r>
        <w:rPr/>
        <w:pict>
          <v:shape style="position:absolute;margin-left:86.545235pt;margin-top:15.323224pt;width:144.25pt;height:.1pt;mso-position-horizontal-relative:page;mso-position-vertical-relative:paragraph;z-index:-15728128;mso-wrap-distance-left:0;mso-wrap-distance-right:0" coordorigin="1731,306" coordsize="2885,0" path="m1731,306l4616,306e" filled="false" stroked="true" strokeweight=".480593pt" strokecolor="#000000">
            <v:path arrowok="t"/>
            <v:stroke dashstyle="solid"/>
            <w10:wrap type="topAndBottom"/>
          </v:shape>
        </w:pict>
      </w:r>
    </w:p>
    <w:p>
      <w:pPr>
        <w:pStyle w:val="ListParagraph"/>
        <w:numPr>
          <w:ilvl w:val="1"/>
          <w:numId w:val="1"/>
        </w:numPr>
        <w:tabs>
          <w:tab w:pos="797" w:val="left" w:leader="none"/>
        </w:tabs>
        <w:spacing w:line="264" w:lineRule="auto" w:before="61" w:after="0"/>
        <w:ind w:left="676" w:right="901" w:firstLine="5"/>
        <w:jc w:val="left"/>
        <w:rPr>
          <w:color w:val="3B3B3B"/>
          <w:sz w:val="12"/>
        </w:rPr>
      </w:pPr>
      <w:r>
        <w:rPr>
          <w:color w:val="4F4F4F"/>
          <w:w w:val="105"/>
          <w:sz w:val="15"/>
        </w:rPr>
        <w:t>International </w:t>
      </w:r>
      <w:r>
        <w:rPr>
          <w:color w:val="3B3B3B"/>
          <w:w w:val="105"/>
          <w:sz w:val="15"/>
        </w:rPr>
        <w:t>trading terms, including FOB, </w:t>
      </w:r>
      <w:r>
        <w:rPr>
          <w:color w:val="3B3B3B"/>
          <w:spacing w:val="4"/>
          <w:w w:val="105"/>
          <w:sz w:val="15"/>
        </w:rPr>
        <w:t>ClF </w:t>
      </w:r>
      <w:r>
        <w:rPr>
          <w:color w:val="3B3B3B"/>
          <w:w w:val="105"/>
          <w:sz w:val="15"/>
        </w:rPr>
        <w:t>and CFR are defined in </w:t>
      </w:r>
      <w:r>
        <w:rPr>
          <w:color w:val="4F4F4F"/>
          <w:w w:val="105"/>
          <w:sz w:val="15"/>
        </w:rPr>
        <w:t>'lncoterms® 201</w:t>
      </w:r>
      <w:r>
        <w:rPr>
          <w:color w:val="3B3B3B"/>
          <w:w w:val="105"/>
          <w:sz w:val="15"/>
        </w:rPr>
        <w:t>O', published by the International Chamber of Commerce. More information about Australia's position </w:t>
      </w:r>
      <w:r>
        <w:rPr>
          <w:color w:val="4F4F4F"/>
          <w:w w:val="105"/>
          <w:sz w:val="15"/>
        </w:rPr>
        <w:t>in </w:t>
      </w:r>
      <w:r>
        <w:rPr>
          <w:color w:val="3B3B3B"/>
          <w:w w:val="105"/>
          <w:sz w:val="15"/>
        </w:rPr>
        <w:t>relation </w:t>
      </w:r>
      <w:r>
        <w:rPr>
          <w:color w:val="4F4F4F"/>
          <w:w w:val="105"/>
          <w:sz w:val="15"/>
        </w:rPr>
        <w:t>to </w:t>
      </w:r>
      <w:r>
        <w:rPr>
          <w:color w:val="3B3B3B"/>
          <w:w w:val="105"/>
          <w:sz w:val="15"/>
        </w:rPr>
        <w:t>these </w:t>
      </w:r>
      <w:r>
        <w:rPr>
          <w:color w:val="4F4F4F"/>
          <w:w w:val="105"/>
          <w:sz w:val="15"/>
        </w:rPr>
        <w:t>terms </w:t>
      </w:r>
      <w:r>
        <w:rPr>
          <w:color w:val="3B3B3B"/>
          <w:w w:val="105"/>
          <w:sz w:val="15"/>
        </w:rPr>
        <w:t>of trade </w:t>
      </w:r>
      <w:r>
        <w:rPr>
          <w:color w:val="4F4F4F"/>
          <w:w w:val="105"/>
          <w:sz w:val="15"/>
        </w:rPr>
        <w:t>is</w:t>
      </w:r>
      <w:r>
        <w:rPr>
          <w:color w:val="3B3B3B"/>
          <w:w w:val="105"/>
          <w:sz w:val="15"/>
        </w:rPr>
        <w:t> available in the Department's Instructions and Guidelines - Customs Valuation, on the Department's</w:t>
      </w:r>
      <w:r>
        <w:rPr>
          <w:color w:val="3B3B3B"/>
          <w:spacing w:val="42"/>
          <w:w w:val="105"/>
          <w:sz w:val="15"/>
        </w:rPr>
        <w:t> </w:t>
      </w:r>
      <w:r>
        <w:rPr>
          <w:color w:val="3B3B3B"/>
          <w:w w:val="105"/>
          <w:sz w:val="15"/>
        </w:rPr>
        <w:t>website.</w:t>
      </w:r>
    </w:p>
    <w:p>
      <w:pPr>
        <w:spacing w:after="0" w:line="264" w:lineRule="auto"/>
        <w:jc w:val="left"/>
        <w:rPr>
          <w:sz w:val="12"/>
        </w:rPr>
        <w:sectPr>
          <w:type w:val="continuous"/>
          <w:pgSz w:w="11900" w:h="16840"/>
          <w:pgMar w:top="660" w:bottom="0" w:left="1060" w:right="1020"/>
        </w:sectPr>
      </w:pPr>
    </w:p>
    <w:p>
      <w:pPr>
        <w:pStyle w:val="BodyText"/>
        <w:rPr>
          <w:sz w:val="20"/>
        </w:rPr>
      </w:pPr>
      <w:r>
        <w:rPr/>
        <w:pict>
          <v:shape style="position:absolute;margin-left:.120056pt;margin-top:412.113464pt;width:1.35pt;height:147.950pt;mso-position-horizontal-relative:page;mso-position-vertical-relative:page;z-index:15732224" coordorigin="2,8242" coordsize="27,2959" path="m2,11201l2,9952m29,9933l29,8242e" filled="false" stroked="true" strokeweight=".240136pt" strokecolor="#000000">
            <v:path arrowok="t"/>
            <v:stroke dashstyle="solid"/>
            <w10:wrap type="none"/>
          </v:shape>
        </w:pict>
      </w:r>
      <w:r>
        <w:rPr/>
        <w:pict>
          <v:line style="position:absolute;mso-position-horizontal-relative:page;mso-position-vertical-relative:page;z-index:15732736" from="1.680786pt,391.940072pt" to="1.680786pt,80.693542pt" stroked="true" strokeweight=".240112pt" strokecolor="#000000">
            <v:stroke dashstyle="solid"/>
            <w10:wrap type="none"/>
          </v:line>
        </w:pict>
      </w:r>
      <w:r>
        <w:rPr/>
        <w:pict>
          <v:line style="position:absolute;mso-position-horizontal-relative:page;mso-position-vertical-relative:page;z-index:15733248" from="58.587406pt,.12008pt" to="157.513684pt,.12008pt" stroked="true" strokeweight=".240159pt" strokecolor="#000000">
            <v:stroke dashstyle="solid"/>
            <w10:wrap type="none"/>
          </v:line>
        </w:pict>
      </w:r>
    </w:p>
    <w:p>
      <w:pPr>
        <w:pStyle w:val="BodyText"/>
        <w:spacing w:before="1"/>
        <w:rPr>
          <w:sz w:val="23"/>
        </w:rPr>
      </w:pPr>
    </w:p>
    <w:p>
      <w:pPr>
        <w:pStyle w:val="BodyText"/>
        <w:spacing w:line="249" w:lineRule="auto" w:before="94"/>
        <w:ind w:left="314" w:right="809" w:hanging="2"/>
      </w:pPr>
      <w:bookmarkStart w:name="Page 2" w:id="2"/>
      <w:bookmarkEnd w:id="2"/>
      <w:r>
        <w:rPr/>
      </w:r>
      <w:r>
        <w:rPr>
          <w:w w:val="105"/>
        </w:rPr>
        <w:t>In deciding to estimate the amount of transport or insurance paid or payable, an owner or their authorised agent would need to ensure that the estimate was soundly based and closely approximates the amount actually paid or payable.</w:t>
      </w:r>
    </w:p>
    <w:p>
      <w:pPr>
        <w:pStyle w:val="BodyText"/>
        <w:spacing w:before="7"/>
        <w:rPr>
          <w:sz w:val="22"/>
        </w:rPr>
      </w:pPr>
    </w:p>
    <w:p>
      <w:pPr>
        <w:pStyle w:val="BodyText"/>
        <w:spacing w:line="249" w:lineRule="auto"/>
        <w:ind w:left="309" w:right="697" w:hanging="1"/>
      </w:pPr>
      <w:r>
        <w:rPr>
          <w:w w:val="105"/>
        </w:rPr>
        <w:t>In circumstances where the actual amount paid or payable for overseas freight and insurance is not known, the importer or their agent must be able to demonstrate that reasonable</w:t>
      </w:r>
      <w:r>
        <w:rPr>
          <w:spacing w:val="-8"/>
          <w:w w:val="105"/>
        </w:rPr>
        <w:t> </w:t>
      </w:r>
      <w:r>
        <w:rPr>
          <w:w w:val="105"/>
        </w:rPr>
        <w:t>efforts</w:t>
      </w:r>
      <w:r>
        <w:rPr>
          <w:spacing w:val="-11"/>
          <w:w w:val="105"/>
        </w:rPr>
        <w:t> </w:t>
      </w:r>
      <w:r>
        <w:rPr>
          <w:w w:val="105"/>
        </w:rPr>
        <w:t>were</w:t>
      </w:r>
      <w:r>
        <w:rPr>
          <w:spacing w:val="-13"/>
          <w:w w:val="105"/>
        </w:rPr>
        <w:t> </w:t>
      </w:r>
      <w:r>
        <w:rPr>
          <w:w w:val="105"/>
        </w:rPr>
        <w:t>made</w:t>
      </w:r>
      <w:r>
        <w:rPr>
          <w:spacing w:val="-10"/>
          <w:w w:val="105"/>
        </w:rPr>
        <w:t> </w:t>
      </w:r>
      <w:r>
        <w:rPr>
          <w:w w:val="105"/>
        </w:rPr>
        <w:t>to</w:t>
      </w:r>
      <w:r>
        <w:rPr>
          <w:spacing w:val="-13"/>
          <w:w w:val="105"/>
        </w:rPr>
        <w:t> </w:t>
      </w:r>
      <w:r>
        <w:rPr>
          <w:w w:val="105"/>
        </w:rPr>
        <w:t>obtain</w:t>
      </w:r>
      <w:r>
        <w:rPr>
          <w:spacing w:val="-12"/>
          <w:w w:val="105"/>
        </w:rPr>
        <w:t> </w:t>
      </w:r>
      <w:r>
        <w:rPr>
          <w:w w:val="105"/>
        </w:rPr>
        <w:t>these</w:t>
      </w:r>
      <w:r>
        <w:rPr>
          <w:spacing w:val="-4"/>
          <w:w w:val="105"/>
        </w:rPr>
        <w:t> </w:t>
      </w:r>
      <w:r>
        <w:rPr>
          <w:w w:val="105"/>
        </w:rPr>
        <w:t>amounts</w:t>
      </w:r>
      <w:r>
        <w:rPr>
          <w:spacing w:val="-6"/>
          <w:w w:val="105"/>
        </w:rPr>
        <w:t> </w:t>
      </w:r>
      <w:r>
        <w:rPr>
          <w:w w:val="105"/>
        </w:rPr>
        <w:t>if</w:t>
      </w:r>
      <w:r>
        <w:rPr>
          <w:spacing w:val="-15"/>
          <w:w w:val="105"/>
        </w:rPr>
        <w:t> </w:t>
      </w:r>
      <w:r>
        <w:rPr>
          <w:w w:val="105"/>
        </w:rPr>
        <w:t>required</w:t>
      </w:r>
      <w:r>
        <w:rPr>
          <w:spacing w:val="-2"/>
          <w:w w:val="105"/>
        </w:rPr>
        <w:t> </w:t>
      </w:r>
      <w:r>
        <w:rPr>
          <w:w w:val="105"/>
        </w:rPr>
        <w:t>by</w:t>
      </w:r>
      <w:r>
        <w:rPr>
          <w:spacing w:val="-17"/>
          <w:w w:val="105"/>
        </w:rPr>
        <w:t> </w:t>
      </w:r>
      <w:r>
        <w:rPr>
          <w:w w:val="105"/>
        </w:rPr>
        <w:t>the</w:t>
      </w:r>
      <w:r>
        <w:rPr>
          <w:spacing w:val="-15"/>
          <w:w w:val="105"/>
        </w:rPr>
        <w:t> </w:t>
      </w:r>
      <w:r>
        <w:rPr>
          <w:w w:val="105"/>
        </w:rPr>
        <w:t>Department.</w:t>
      </w:r>
    </w:p>
    <w:p>
      <w:pPr>
        <w:pStyle w:val="BodyText"/>
        <w:spacing w:before="7"/>
        <w:rPr>
          <w:sz w:val="22"/>
        </w:rPr>
      </w:pPr>
    </w:p>
    <w:p>
      <w:pPr>
        <w:pStyle w:val="BodyText"/>
        <w:spacing w:line="249" w:lineRule="auto"/>
        <w:ind w:left="306" w:right="810" w:firstLine="6"/>
      </w:pPr>
      <w:r>
        <w:rPr>
          <w:w w:val="105"/>
        </w:rPr>
        <w:t>If, or once, information about the actual overseas freight and insurance is received by the owner or their authorised agent and the estimate turns out to be incorrect to a material extent, an amended import declaration must be made, regardless of whether:</w:t>
      </w:r>
    </w:p>
    <w:p>
      <w:pPr>
        <w:pStyle w:val="BodyText"/>
        <w:spacing w:before="5"/>
        <w:rPr>
          <w:sz w:val="23"/>
        </w:rPr>
      </w:pPr>
    </w:p>
    <w:p>
      <w:pPr>
        <w:pStyle w:val="ListParagraph"/>
        <w:numPr>
          <w:ilvl w:val="0"/>
          <w:numId w:val="2"/>
        </w:numPr>
        <w:tabs>
          <w:tab w:pos="871" w:val="left" w:leader="none"/>
          <w:tab w:pos="872" w:val="left" w:leader="none"/>
        </w:tabs>
        <w:spacing w:line="240" w:lineRule="auto" w:before="0" w:after="0"/>
        <w:ind w:left="871" w:right="0" w:hanging="277"/>
        <w:jc w:val="left"/>
        <w:rPr>
          <w:sz w:val="21"/>
        </w:rPr>
      </w:pPr>
      <w:r>
        <w:rPr>
          <w:w w:val="105"/>
          <w:sz w:val="21"/>
        </w:rPr>
        <w:t>the owner is entitled to an input tax credit in relation to the importation;</w:t>
      </w:r>
      <w:r>
        <w:rPr>
          <w:spacing w:val="-27"/>
          <w:w w:val="105"/>
          <w:sz w:val="21"/>
        </w:rPr>
        <w:t> </w:t>
      </w:r>
      <w:r>
        <w:rPr>
          <w:w w:val="105"/>
          <w:sz w:val="21"/>
        </w:rPr>
        <w:t>or</w:t>
      </w:r>
    </w:p>
    <w:p>
      <w:pPr>
        <w:pStyle w:val="BodyText"/>
        <w:spacing w:before="6"/>
        <w:rPr>
          <w:sz w:val="24"/>
        </w:rPr>
      </w:pPr>
    </w:p>
    <w:p>
      <w:pPr>
        <w:pStyle w:val="ListParagraph"/>
        <w:numPr>
          <w:ilvl w:val="0"/>
          <w:numId w:val="2"/>
        </w:numPr>
        <w:tabs>
          <w:tab w:pos="871" w:val="left" w:leader="none"/>
          <w:tab w:pos="872" w:val="left" w:leader="none"/>
        </w:tabs>
        <w:spacing w:line="240" w:lineRule="auto" w:before="0" w:after="0"/>
        <w:ind w:left="871" w:right="0" w:hanging="282"/>
        <w:jc w:val="left"/>
        <w:rPr>
          <w:sz w:val="21"/>
        </w:rPr>
      </w:pPr>
      <w:r>
        <w:rPr>
          <w:w w:val="105"/>
          <w:sz w:val="21"/>
        </w:rPr>
        <w:t>the owner is approved for GST deferral;</w:t>
      </w:r>
      <w:r>
        <w:rPr>
          <w:spacing w:val="9"/>
          <w:w w:val="105"/>
          <w:sz w:val="21"/>
        </w:rPr>
        <w:t> </w:t>
      </w:r>
      <w:r>
        <w:rPr>
          <w:w w:val="105"/>
          <w:sz w:val="21"/>
        </w:rPr>
        <w:t>or</w:t>
      </w:r>
    </w:p>
    <w:p>
      <w:pPr>
        <w:pStyle w:val="BodyText"/>
        <w:spacing w:before="1"/>
        <w:rPr>
          <w:sz w:val="24"/>
        </w:rPr>
      </w:pPr>
    </w:p>
    <w:p>
      <w:pPr>
        <w:pStyle w:val="ListParagraph"/>
        <w:numPr>
          <w:ilvl w:val="0"/>
          <w:numId w:val="2"/>
        </w:numPr>
        <w:tabs>
          <w:tab w:pos="872" w:val="left" w:leader="none"/>
        </w:tabs>
        <w:spacing w:line="240" w:lineRule="auto" w:before="1" w:after="0"/>
        <w:ind w:left="871" w:right="0" w:hanging="277"/>
        <w:jc w:val="left"/>
        <w:rPr>
          <w:sz w:val="21"/>
        </w:rPr>
      </w:pPr>
      <w:r>
        <w:rPr>
          <w:w w:val="105"/>
          <w:sz w:val="21"/>
        </w:rPr>
        <w:t>the owner's underpayments are "offset" by</w:t>
      </w:r>
      <w:r>
        <w:rPr>
          <w:spacing w:val="12"/>
          <w:w w:val="105"/>
          <w:sz w:val="21"/>
        </w:rPr>
        <w:t> </w:t>
      </w:r>
      <w:r>
        <w:rPr>
          <w:w w:val="105"/>
          <w:sz w:val="21"/>
        </w:rPr>
        <w:t>overpayments.</w:t>
      </w:r>
    </w:p>
    <w:p>
      <w:pPr>
        <w:pStyle w:val="BodyText"/>
        <w:spacing w:before="3"/>
        <w:rPr>
          <w:sz w:val="23"/>
        </w:rPr>
      </w:pPr>
    </w:p>
    <w:p>
      <w:pPr>
        <w:pStyle w:val="BodyText"/>
        <w:ind w:left="301"/>
      </w:pPr>
      <w:r>
        <w:rPr>
          <w:w w:val="105"/>
        </w:rPr>
        <w:t>Examples of circumstances where an estimate may be used include:</w:t>
      </w:r>
    </w:p>
    <w:p>
      <w:pPr>
        <w:pStyle w:val="BodyText"/>
        <w:spacing w:before="6"/>
        <w:rPr>
          <w:sz w:val="24"/>
        </w:rPr>
      </w:pPr>
    </w:p>
    <w:p>
      <w:pPr>
        <w:pStyle w:val="ListParagraph"/>
        <w:numPr>
          <w:ilvl w:val="0"/>
          <w:numId w:val="2"/>
        </w:numPr>
        <w:tabs>
          <w:tab w:pos="867" w:val="left" w:leader="none"/>
          <w:tab w:pos="868" w:val="left" w:leader="none"/>
        </w:tabs>
        <w:spacing w:line="242" w:lineRule="auto" w:before="0" w:after="0"/>
        <w:ind w:left="868" w:right="1380" w:hanging="278"/>
        <w:jc w:val="left"/>
        <w:rPr>
          <w:sz w:val="21"/>
        </w:rPr>
      </w:pPr>
      <w:r>
        <w:rPr>
          <w:w w:val="105"/>
          <w:sz w:val="21"/>
        </w:rPr>
        <w:t>the</w:t>
      </w:r>
      <w:r>
        <w:rPr>
          <w:spacing w:val="-10"/>
          <w:w w:val="105"/>
          <w:sz w:val="21"/>
        </w:rPr>
        <w:t> </w:t>
      </w:r>
      <w:r>
        <w:rPr>
          <w:w w:val="105"/>
          <w:sz w:val="21"/>
        </w:rPr>
        <w:t>supplier</w:t>
      </w:r>
      <w:r>
        <w:rPr>
          <w:spacing w:val="1"/>
          <w:w w:val="105"/>
          <w:sz w:val="21"/>
        </w:rPr>
        <w:t> </w:t>
      </w:r>
      <w:r>
        <w:rPr>
          <w:w w:val="105"/>
          <w:sz w:val="21"/>
        </w:rPr>
        <w:t>of</w:t>
      </w:r>
      <w:r>
        <w:rPr>
          <w:spacing w:val="-12"/>
          <w:w w:val="105"/>
          <w:sz w:val="21"/>
        </w:rPr>
        <w:t> </w:t>
      </w:r>
      <w:r>
        <w:rPr>
          <w:w w:val="105"/>
          <w:sz w:val="21"/>
        </w:rPr>
        <w:t>the</w:t>
      </w:r>
      <w:r>
        <w:rPr>
          <w:spacing w:val="-10"/>
          <w:w w:val="105"/>
          <w:sz w:val="21"/>
        </w:rPr>
        <w:t> </w:t>
      </w:r>
      <w:r>
        <w:rPr>
          <w:w w:val="105"/>
          <w:sz w:val="21"/>
        </w:rPr>
        <w:t>transport</w:t>
      </w:r>
      <w:r>
        <w:rPr>
          <w:spacing w:val="5"/>
          <w:w w:val="105"/>
          <w:sz w:val="21"/>
        </w:rPr>
        <w:t> </w:t>
      </w:r>
      <w:r>
        <w:rPr>
          <w:w w:val="105"/>
          <w:sz w:val="21"/>
        </w:rPr>
        <w:t>or</w:t>
      </w:r>
      <w:r>
        <w:rPr>
          <w:spacing w:val="-13"/>
          <w:w w:val="105"/>
          <w:sz w:val="21"/>
        </w:rPr>
        <w:t> </w:t>
      </w:r>
      <w:r>
        <w:rPr>
          <w:w w:val="105"/>
          <w:sz w:val="21"/>
        </w:rPr>
        <w:t>insurance</w:t>
      </w:r>
      <w:r>
        <w:rPr>
          <w:spacing w:val="7"/>
          <w:w w:val="105"/>
          <w:sz w:val="21"/>
        </w:rPr>
        <w:t> </w:t>
      </w:r>
      <w:r>
        <w:rPr>
          <w:w w:val="105"/>
          <w:sz w:val="21"/>
        </w:rPr>
        <w:t>does</w:t>
      </w:r>
      <w:r>
        <w:rPr>
          <w:spacing w:val="-9"/>
          <w:w w:val="105"/>
          <w:sz w:val="21"/>
        </w:rPr>
        <w:t> </w:t>
      </w:r>
      <w:r>
        <w:rPr>
          <w:w w:val="105"/>
          <w:sz w:val="21"/>
        </w:rPr>
        <w:t>not</w:t>
      </w:r>
      <w:r>
        <w:rPr>
          <w:spacing w:val="-15"/>
          <w:w w:val="105"/>
          <w:sz w:val="21"/>
        </w:rPr>
        <w:t> </w:t>
      </w:r>
      <w:r>
        <w:rPr>
          <w:w w:val="105"/>
          <w:sz w:val="21"/>
        </w:rPr>
        <w:t>issue</w:t>
      </w:r>
      <w:r>
        <w:rPr>
          <w:spacing w:val="-9"/>
          <w:w w:val="105"/>
          <w:sz w:val="21"/>
        </w:rPr>
        <w:t> </w:t>
      </w:r>
      <w:r>
        <w:rPr>
          <w:w w:val="105"/>
          <w:sz w:val="21"/>
        </w:rPr>
        <w:t>an</w:t>
      </w:r>
      <w:r>
        <w:rPr>
          <w:spacing w:val="-19"/>
          <w:w w:val="105"/>
          <w:sz w:val="21"/>
        </w:rPr>
        <w:t> </w:t>
      </w:r>
      <w:r>
        <w:rPr>
          <w:w w:val="105"/>
          <w:sz w:val="21"/>
        </w:rPr>
        <w:t>invoice</w:t>
      </w:r>
      <w:r>
        <w:rPr>
          <w:spacing w:val="-6"/>
          <w:w w:val="105"/>
          <w:sz w:val="21"/>
        </w:rPr>
        <w:t> </w:t>
      </w:r>
      <w:r>
        <w:rPr>
          <w:w w:val="105"/>
          <w:sz w:val="21"/>
        </w:rPr>
        <w:t>until</w:t>
      </w:r>
      <w:r>
        <w:rPr>
          <w:spacing w:val="-10"/>
          <w:w w:val="105"/>
          <w:sz w:val="21"/>
        </w:rPr>
        <w:t> </w:t>
      </w:r>
      <w:r>
        <w:rPr>
          <w:w w:val="105"/>
          <w:sz w:val="21"/>
        </w:rPr>
        <w:t>a</w:t>
      </w:r>
      <w:r>
        <w:rPr>
          <w:spacing w:val="-11"/>
          <w:w w:val="105"/>
          <w:sz w:val="21"/>
        </w:rPr>
        <w:t> </w:t>
      </w:r>
      <w:r>
        <w:rPr>
          <w:w w:val="105"/>
          <w:sz w:val="21"/>
        </w:rPr>
        <w:t>later date;</w:t>
      </w:r>
    </w:p>
    <w:p>
      <w:pPr>
        <w:pStyle w:val="BodyText"/>
        <w:spacing w:before="4"/>
        <w:rPr>
          <w:sz w:val="22"/>
        </w:rPr>
      </w:pPr>
    </w:p>
    <w:p>
      <w:pPr>
        <w:pStyle w:val="ListParagraph"/>
        <w:numPr>
          <w:ilvl w:val="0"/>
          <w:numId w:val="2"/>
        </w:numPr>
        <w:tabs>
          <w:tab w:pos="863" w:val="left" w:leader="none"/>
        </w:tabs>
        <w:spacing w:line="228" w:lineRule="auto" w:before="0" w:after="0"/>
        <w:ind w:left="863" w:right="1567" w:hanging="279"/>
        <w:jc w:val="left"/>
        <w:rPr>
          <w:sz w:val="21"/>
        </w:rPr>
      </w:pPr>
      <w:r>
        <w:rPr>
          <w:w w:val="105"/>
          <w:sz w:val="21"/>
        </w:rPr>
        <w:t>the</w:t>
      </w:r>
      <w:r>
        <w:rPr>
          <w:spacing w:val="-10"/>
          <w:w w:val="105"/>
          <w:sz w:val="21"/>
        </w:rPr>
        <w:t> </w:t>
      </w:r>
      <w:r>
        <w:rPr>
          <w:w w:val="105"/>
          <w:sz w:val="21"/>
        </w:rPr>
        <w:t>owner</w:t>
      </w:r>
      <w:r>
        <w:rPr>
          <w:spacing w:val="-2"/>
          <w:w w:val="105"/>
          <w:sz w:val="21"/>
        </w:rPr>
        <w:t> </w:t>
      </w:r>
      <w:r>
        <w:rPr>
          <w:w w:val="105"/>
          <w:sz w:val="21"/>
        </w:rPr>
        <w:t>will</w:t>
      </w:r>
      <w:r>
        <w:rPr>
          <w:spacing w:val="-12"/>
          <w:w w:val="105"/>
          <w:sz w:val="21"/>
        </w:rPr>
        <w:t> </w:t>
      </w:r>
      <w:r>
        <w:rPr>
          <w:w w:val="105"/>
          <w:sz w:val="21"/>
        </w:rPr>
        <w:t>not</w:t>
      </w:r>
      <w:r>
        <w:rPr>
          <w:spacing w:val="-11"/>
          <w:w w:val="105"/>
          <w:sz w:val="21"/>
        </w:rPr>
        <w:t> </w:t>
      </w:r>
      <w:r>
        <w:rPr>
          <w:w w:val="105"/>
          <w:sz w:val="21"/>
        </w:rPr>
        <w:t>pay</w:t>
      </w:r>
      <w:r>
        <w:rPr>
          <w:spacing w:val="-10"/>
          <w:w w:val="105"/>
          <w:sz w:val="21"/>
        </w:rPr>
        <w:t> </w:t>
      </w:r>
      <w:r>
        <w:rPr>
          <w:w w:val="105"/>
          <w:sz w:val="21"/>
        </w:rPr>
        <w:t>the</w:t>
      </w:r>
      <w:r>
        <w:rPr>
          <w:spacing w:val="-8"/>
          <w:w w:val="105"/>
          <w:sz w:val="21"/>
        </w:rPr>
        <w:t> </w:t>
      </w:r>
      <w:r>
        <w:rPr>
          <w:w w:val="105"/>
          <w:sz w:val="21"/>
        </w:rPr>
        <w:t>foreign</w:t>
      </w:r>
      <w:r>
        <w:rPr>
          <w:spacing w:val="-6"/>
          <w:w w:val="105"/>
          <w:sz w:val="21"/>
        </w:rPr>
        <w:t> </w:t>
      </w:r>
      <w:r>
        <w:rPr>
          <w:w w:val="105"/>
          <w:sz w:val="21"/>
        </w:rPr>
        <w:t>currency</w:t>
      </w:r>
      <w:r>
        <w:rPr>
          <w:spacing w:val="-1"/>
          <w:w w:val="105"/>
          <w:sz w:val="21"/>
        </w:rPr>
        <w:t> </w:t>
      </w:r>
      <w:r>
        <w:rPr>
          <w:w w:val="105"/>
          <w:sz w:val="21"/>
        </w:rPr>
        <w:t>amount</w:t>
      </w:r>
      <w:r>
        <w:rPr>
          <w:spacing w:val="-1"/>
          <w:w w:val="105"/>
          <w:sz w:val="21"/>
        </w:rPr>
        <w:t> </w:t>
      </w:r>
      <w:r>
        <w:rPr>
          <w:w w:val="105"/>
          <w:sz w:val="21"/>
        </w:rPr>
        <w:t>of</w:t>
      </w:r>
      <w:r>
        <w:rPr>
          <w:spacing w:val="-15"/>
          <w:w w:val="105"/>
          <w:sz w:val="21"/>
        </w:rPr>
        <w:t> </w:t>
      </w:r>
      <w:r>
        <w:rPr>
          <w:w w:val="105"/>
          <w:sz w:val="21"/>
        </w:rPr>
        <w:t>transport</w:t>
      </w:r>
      <w:r>
        <w:rPr>
          <w:spacing w:val="1"/>
          <w:w w:val="105"/>
          <w:sz w:val="21"/>
        </w:rPr>
        <w:t> </w:t>
      </w:r>
      <w:r>
        <w:rPr>
          <w:w w:val="105"/>
          <w:sz w:val="21"/>
        </w:rPr>
        <w:t>charged</w:t>
      </w:r>
      <w:r>
        <w:rPr>
          <w:spacing w:val="-4"/>
          <w:w w:val="105"/>
          <w:sz w:val="21"/>
        </w:rPr>
        <w:t> </w:t>
      </w:r>
      <w:r>
        <w:rPr>
          <w:w w:val="105"/>
          <w:sz w:val="21"/>
        </w:rPr>
        <w:t>by</w:t>
      </w:r>
      <w:r>
        <w:rPr>
          <w:spacing w:val="-10"/>
          <w:w w:val="105"/>
          <w:sz w:val="21"/>
        </w:rPr>
        <w:t> </w:t>
      </w:r>
      <w:r>
        <w:rPr>
          <w:w w:val="105"/>
          <w:sz w:val="21"/>
        </w:rPr>
        <w:t>a subcontracted transport provider because the owner will pay an Australian currency</w:t>
      </w:r>
      <w:r>
        <w:rPr>
          <w:spacing w:val="2"/>
          <w:w w:val="105"/>
          <w:sz w:val="21"/>
        </w:rPr>
        <w:t> </w:t>
      </w:r>
      <w:r>
        <w:rPr>
          <w:w w:val="105"/>
          <w:sz w:val="21"/>
        </w:rPr>
        <w:t>amount</w:t>
      </w:r>
      <w:r>
        <w:rPr>
          <w:spacing w:val="-7"/>
          <w:w w:val="105"/>
          <w:sz w:val="21"/>
        </w:rPr>
        <w:t> </w:t>
      </w:r>
      <w:r>
        <w:rPr>
          <w:w w:val="105"/>
          <w:sz w:val="21"/>
        </w:rPr>
        <w:t>that</w:t>
      </w:r>
      <w:r>
        <w:rPr>
          <w:spacing w:val="-7"/>
          <w:w w:val="105"/>
          <w:sz w:val="21"/>
        </w:rPr>
        <w:t> </w:t>
      </w:r>
      <w:r>
        <w:rPr>
          <w:w w:val="105"/>
          <w:sz w:val="21"/>
        </w:rPr>
        <w:t>is</w:t>
      </w:r>
      <w:r>
        <w:rPr>
          <w:spacing w:val="-9"/>
          <w:w w:val="105"/>
          <w:sz w:val="21"/>
        </w:rPr>
        <w:t> </w:t>
      </w:r>
      <w:r>
        <w:rPr>
          <w:w w:val="105"/>
          <w:sz w:val="21"/>
        </w:rPr>
        <w:t>still</w:t>
      </w:r>
      <w:r>
        <w:rPr>
          <w:spacing w:val="-11"/>
          <w:w w:val="105"/>
          <w:sz w:val="21"/>
        </w:rPr>
        <w:t> </w:t>
      </w:r>
      <w:r>
        <w:rPr>
          <w:w w:val="105"/>
          <w:sz w:val="21"/>
        </w:rPr>
        <w:t>to</w:t>
      </w:r>
      <w:r>
        <w:rPr>
          <w:spacing w:val="-6"/>
          <w:w w:val="105"/>
          <w:sz w:val="21"/>
        </w:rPr>
        <w:t> </w:t>
      </w:r>
      <w:r>
        <w:rPr>
          <w:w w:val="105"/>
          <w:sz w:val="21"/>
        </w:rPr>
        <w:t>be</w:t>
      </w:r>
      <w:r>
        <w:rPr>
          <w:spacing w:val="-12"/>
          <w:w w:val="105"/>
          <w:sz w:val="21"/>
        </w:rPr>
        <w:t> </w:t>
      </w:r>
      <w:r>
        <w:rPr>
          <w:w w:val="105"/>
          <w:sz w:val="21"/>
        </w:rPr>
        <w:t>invoiced</w:t>
      </w:r>
      <w:r>
        <w:rPr>
          <w:spacing w:val="3"/>
          <w:w w:val="105"/>
          <w:sz w:val="21"/>
        </w:rPr>
        <w:t> </w:t>
      </w:r>
      <w:r>
        <w:rPr>
          <w:w w:val="105"/>
          <w:sz w:val="21"/>
        </w:rPr>
        <w:t>by</w:t>
      </w:r>
      <w:r>
        <w:rPr>
          <w:spacing w:val="-10"/>
          <w:w w:val="105"/>
          <w:sz w:val="21"/>
        </w:rPr>
        <w:t> </w:t>
      </w:r>
      <w:r>
        <w:rPr>
          <w:w w:val="105"/>
          <w:sz w:val="21"/>
        </w:rPr>
        <w:t>the</w:t>
      </w:r>
      <w:r>
        <w:rPr>
          <w:spacing w:val="-11"/>
          <w:w w:val="105"/>
          <w:sz w:val="21"/>
        </w:rPr>
        <w:t> </w:t>
      </w:r>
      <w:r>
        <w:rPr>
          <w:w w:val="105"/>
          <w:sz w:val="21"/>
        </w:rPr>
        <w:t>owner's service</w:t>
      </w:r>
      <w:r>
        <w:rPr>
          <w:spacing w:val="-4"/>
          <w:w w:val="105"/>
          <w:sz w:val="21"/>
        </w:rPr>
        <w:t> </w:t>
      </w:r>
      <w:r>
        <w:rPr>
          <w:w w:val="105"/>
          <w:sz w:val="21"/>
        </w:rPr>
        <w:t>provider;</w:t>
      </w:r>
    </w:p>
    <w:p>
      <w:pPr>
        <w:pStyle w:val="BodyText"/>
        <w:spacing w:before="9"/>
        <w:rPr>
          <w:sz w:val="22"/>
        </w:rPr>
      </w:pPr>
    </w:p>
    <w:p>
      <w:pPr>
        <w:pStyle w:val="ListParagraph"/>
        <w:numPr>
          <w:ilvl w:val="0"/>
          <w:numId w:val="2"/>
        </w:numPr>
        <w:tabs>
          <w:tab w:pos="867" w:val="left" w:leader="none"/>
          <w:tab w:pos="868" w:val="left" w:leader="none"/>
        </w:tabs>
        <w:spacing w:line="247" w:lineRule="auto" w:before="0" w:after="0"/>
        <w:ind w:left="862" w:right="1286" w:hanging="277"/>
        <w:jc w:val="left"/>
        <w:rPr>
          <w:sz w:val="21"/>
        </w:rPr>
      </w:pPr>
      <w:r>
        <w:rPr>
          <w:w w:val="105"/>
          <w:sz w:val="21"/>
        </w:rPr>
        <w:t>the owner will not pay the amount of transport charged by a subcontracted transport</w:t>
      </w:r>
      <w:r>
        <w:rPr>
          <w:spacing w:val="-4"/>
          <w:w w:val="105"/>
          <w:sz w:val="21"/>
        </w:rPr>
        <w:t> </w:t>
      </w:r>
      <w:r>
        <w:rPr>
          <w:w w:val="105"/>
          <w:sz w:val="21"/>
        </w:rPr>
        <w:t>provider</w:t>
      </w:r>
      <w:r>
        <w:rPr>
          <w:spacing w:val="-4"/>
          <w:w w:val="105"/>
          <w:sz w:val="21"/>
        </w:rPr>
        <w:t> </w:t>
      </w:r>
      <w:r>
        <w:rPr>
          <w:w w:val="105"/>
          <w:sz w:val="21"/>
        </w:rPr>
        <w:t>because</w:t>
      </w:r>
      <w:r>
        <w:rPr>
          <w:spacing w:val="-6"/>
          <w:w w:val="105"/>
          <w:sz w:val="21"/>
        </w:rPr>
        <w:t> </w:t>
      </w:r>
      <w:r>
        <w:rPr>
          <w:w w:val="105"/>
          <w:sz w:val="21"/>
        </w:rPr>
        <w:t>the</w:t>
      </w:r>
      <w:r>
        <w:rPr>
          <w:spacing w:val="-13"/>
          <w:w w:val="105"/>
          <w:sz w:val="21"/>
        </w:rPr>
        <w:t> </w:t>
      </w:r>
      <w:r>
        <w:rPr>
          <w:w w:val="105"/>
          <w:sz w:val="21"/>
        </w:rPr>
        <w:t>owner's</w:t>
      </w:r>
      <w:r>
        <w:rPr>
          <w:spacing w:val="-1"/>
          <w:w w:val="105"/>
          <w:sz w:val="21"/>
        </w:rPr>
        <w:t> </w:t>
      </w:r>
      <w:r>
        <w:rPr>
          <w:w w:val="105"/>
          <w:sz w:val="21"/>
        </w:rPr>
        <w:t>service</w:t>
      </w:r>
      <w:r>
        <w:rPr>
          <w:spacing w:val="-7"/>
          <w:w w:val="105"/>
          <w:sz w:val="21"/>
        </w:rPr>
        <w:t> </w:t>
      </w:r>
      <w:r>
        <w:rPr>
          <w:w w:val="105"/>
          <w:sz w:val="21"/>
        </w:rPr>
        <w:t>provider</w:t>
      </w:r>
      <w:r>
        <w:rPr>
          <w:spacing w:val="-1"/>
          <w:w w:val="105"/>
          <w:sz w:val="21"/>
        </w:rPr>
        <w:t> </w:t>
      </w:r>
      <w:r>
        <w:rPr>
          <w:w w:val="105"/>
          <w:sz w:val="21"/>
        </w:rPr>
        <w:t>will</w:t>
      </w:r>
      <w:r>
        <w:rPr>
          <w:spacing w:val="-15"/>
          <w:w w:val="105"/>
          <w:sz w:val="21"/>
        </w:rPr>
        <w:t> </w:t>
      </w:r>
      <w:r>
        <w:rPr>
          <w:w w:val="105"/>
          <w:sz w:val="21"/>
        </w:rPr>
        <w:t>add</w:t>
      </w:r>
      <w:r>
        <w:rPr>
          <w:spacing w:val="-13"/>
          <w:w w:val="105"/>
          <w:sz w:val="21"/>
        </w:rPr>
        <w:t> </w:t>
      </w:r>
      <w:r>
        <w:rPr>
          <w:w w:val="105"/>
          <w:sz w:val="21"/>
        </w:rPr>
        <w:t>its</w:t>
      </w:r>
      <w:r>
        <w:rPr>
          <w:spacing w:val="-15"/>
          <w:w w:val="105"/>
          <w:sz w:val="21"/>
        </w:rPr>
        <w:t> </w:t>
      </w:r>
      <w:r>
        <w:rPr>
          <w:w w:val="105"/>
          <w:sz w:val="21"/>
        </w:rPr>
        <w:t>own</w:t>
      </w:r>
      <w:r>
        <w:rPr>
          <w:spacing w:val="-18"/>
          <w:w w:val="105"/>
          <w:sz w:val="21"/>
        </w:rPr>
        <w:t> </w:t>
      </w:r>
      <w:r>
        <w:rPr>
          <w:w w:val="105"/>
          <w:sz w:val="21"/>
        </w:rPr>
        <w:t>service charge;</w:t>
      </w:r>
      <w:r>
        <w:rPr>
          <w:spacing w:val="6"/>
          <w:w w:val="105"/>
          <w:sz w:val="21"/>
        </w:rPr>
        <w:t> </w:t>
      </w:r>
      <w:r>
        <w:rPr>
          <w:w w:val="105"/>
          <w:sz w:val="21"/>
        </w:rPr>
        <w:t>and</w:t>
      </w:r>
    </w:p>
    <w:p>
      <w:pPr>
        <w:pStyle w:val="BodyText"/>
        <w:spacing w:before="1"/>
        <w:rPr>
          <w:sz w:val="24"/>
        </w:rPr>
      </w:pPr>
    </w:p>
    <w:p>
      <w:pPr>
        <w:pStyle w:val="ListParagraph"/>
        <w:numPr>
          <w:ilvl w:val="0"/>
          <w:numId w:val="2"/>
        </w:numPr>
        <w:tabs>
          <w:tab w:pos="862" w:val="left" w:leader="none"/>
          <w:tab w:pos="863" w:val="left" w:leader="none"/>
        </w:tabs>
        <w:spacing w:line="247" w:lineRule="auto" w:before="0" w:after="0"/>
        <w:ind w:left="862" w:right="1074" w:hanging="283"/>
        <w:jc w:val="left"/>
        <w:rPr>
          <w:sz w:val="21"/>
        </w:rPr>
      </w:pPr>
      <w:r>
        <w:rPr>
          <w:w w:val="105"/>
          <w:sz w:val="21"/>
        </w:rPr>
        <w:t>another</w:t>
      </w:r>
      <w:r>
        <w:rPr>
          <w:spacing w:val="-5"/>
          <w:w w:val="105"/>
          <w:sz w:val="21"/>
        </w:rPr>
        <w:t> </w:t>
      </w:r>
      <w:r>
        <w:rPr>
          <w:w w:val="105"/>
          <w:sz w:val="21"/>
        </w:rPr>
        <w:t>entity</w:t>
      </w:r>
      <w:r>
        <w:rPr>
          <w:spacing w:val="-10"/>
          <w:w w:val="105"/>
          <w:sz w:val="21"/>
        </w:rPr>
        <w:t> </w:t>
      </w:r>
      <w:r>
        <w:rPr>
          <w:w w:val="105"/>
          <w:sz w:val="21"/>
        </w:rPr>
        <w:t>is</w:t>
      </w:r>
      <w:r>
        <w:rPr>
          <w:spacing w:val="-12"/>
          <w:w w:val="105"/>
          <w:sz w:val="21"/>
        </w:rPr>
        <w:t> </w:t>
      </w:r>
      <w:r>
        <w:rPr>
          <w:w w:val="105"/>
          <w:sz w:val="21"/>
        </w:rPr>
        <w:t>responsible</w:t>
      </w:r>
      <w:r>
        <w:rPr>
          <w:spacing w:val="-3"/>
          <w:w w:val="105"/>
          <w:sz w:val="21"/>
        </w:rPr>
        <w:t> </w:t>
      </w:r>
      <w:r>
        <w:rPr>
          <w:w w:val="105"/>
          <w:sz w:val="21"/>
        </w:rPr>
        <w:t>for</w:t>
      </w:r>
      <w:r>
        <w:rPr>
          <w:spacing w:val="-12"/>
          <w:w w:val="105"/>
          <w:sz w:val="21"/>
        </w:rPr>
        <w:t> </w:t>
      </w:r>
      <w:r>
        <w:rPr>
          <w:w w:val="105"/>
          <w:sz w:val="21"/>
        </w:rPr>
        <w:t>paying</w:t>
      </w:r>
      <w:r>
        <w:rPr>
          <w:spacing w:val="-11"/>
          <w:w w:val="105"/>
          <w:sz w:val="21"/>
        </w:rPr>
        <w:t> </w:t>
      </w:r>
      <w:r>
        <w:rPr>
          <w:w w:val="105"/>
          <w:sz w:val="21"/>
        </w:rPr>
        <w:t>the</w:t>
      </w:r>
      <w:r>
        <w:rPr>
          <w:spacing w:val="-15"/>
          <w:w w:val="105"/>
          <w:sz w:val="21"/>
        </w:rPr>
        <w:t> </w:t>
      </w:r>
      <w:r>
        <w:rPr>
          <w:w w:val="105"/>
          <w:sz w:val="21"/>
        </w:rPr>
        <w:t>transport or</w:t>
      </w:r>
      <w:r>
        <w:rPr>
          <w:spacing w:val="-17"/>
          <w:w w:val="105"/>
          <w:sz w:val="21"/>
        </w:rPr>
        <w:t> </w:t>
      </w:r>
      <w:r>
        <w:rPr>
          <w:w w:val="105"/>
          <w:sz w:val="21"/>
        </w:rPr>
        <w:t>insurance</w:t>
      </w:r>
      <w:r>
        <w:rPr>
          <w:spacing w:val="-1"/>
          <w:w w:val="105"/>
          <w:sz w:val="21"/>
        </w:rPr>
        <w:t> </w:t>
      </w:r>
      <w:r>
        <w:rPr>
          <w:w w:val="105"/>
          <w:sz w:val="21"/>
        </w:rPr>
        <w:t>costs</w:t>
      </w:r>
      <w:r>
        <w:rPr>
          <w:spacing w:val="-11"/>
          <w:w w:val="105"/>
          <w:sz w:val="21"/>
        </w:rPr>
        <w:t> </w:t>
      </w:r>
      <w:r>
        <w:rPr>
          <w:w w:val="105"/>
          <w:sz w:val="21"/>
        </w:rPr>
        <w:t>(e.g.</w:t>
      </w:r>
      <w:r>
        <w:rPr>
          <w:spacing w:val="-5"/>
          <w:w w:val="105"/>
          <w:sz w:val="21"/>
        </w:rPr>
        <w:t> </w:t>
      </w:r>
      <w:r>
        <w:rPr>
          <w:w w:val="105"/>
          <w:sz w:val="21"/>
        </w:rPr>
        <w:t>CFR and</w:t>
      </w:r>
      <w:r>
        <w:rPr>
          <w:spacing w:val="-7"/>
          <w:w w:val="105"/>
          <w:sz w:val="21"/>
        </w:rPr>
        <w:t> </w:t>
      </w:r>
      <w:r>
        <w:rPr>
          <w:w w:val="105"/>
          <w:sz w:val="21"/>
        </w:rPr>
        <w:t>CIF</w:t>
      </w:r>
      <w:r>
        <w:rPr>
          <w:spacing w:val="-12"/>
          <w:w w:val="105"/>
          <w:sz w:val="21"/>
        </w:rPr>
        <w:t> </w:t>
      </w:r>
      <w:r>
        <w:rPr>
          <w:w w:val="105"/>
          <w:sz w:val="21"/>
        </w:rPr>
        <w:t>contracts) and</w:t>
      </w:r>
      <w:r>
        <w:rPr>
          <w:spacing w:val="-8"/>
          <w:w w:val="105"/>
          <w:sz w:val="21"/>
        </w:rPr>
        <w:t> </w:t>
      </w:r>
      <w:r>
        <w:rPr>
          <w:w w:val="105"/>
          <w:sz w:val="21"/>
        </w:rPr>
        <w:t>the</w:t>
      </w:r>
      <w:r>
        <w:rPr>
          <w:spacing w:val="-12"/>
          <w:w w:val="105"/>
          <w:sz w:val="21"/>
        </w:rPr>
        <w:t> </w:t>
      </w:r>
      <w:r>
        <w:rPr>
          <w:w w:val="105"/>
          <w:sz w:val="21"/>
        </w:rPr>
        <w:t>amount</w:t>
      </w:r>
      <w:r>
        <w:rPr>
          <w:spacing w:val="-9"/>
          <w:w w:val="105"/>
          <w:sz w:val="21"/>
        </w:rPr>
        <w:t> </w:t>
      </w:r>
      <w:r>
        <w:rPr>
          <w:w w:val="105"/>
          <w:sz w:val="21"/>
        </w:rPr>
        <w:t>paid</w:t>
      </w:r>
      <w:r>
        <w:rPr>
          <w:spacing w:val="-11"/>
          <w:w w:val="105"/>
          <w:sz w:val="21"/>
        </w:rPr>
        <w:t> </w:t>
      </w:r>
      <w:r>
        <w:rPr>
          <w:w w:val="105"/>
          <w:sz w:val="21"/>
        </w:rPr>
        <w:t>or</w:t>
      </w:r>
      <w:r>
        <w:rPr>
          <w:spacing w:val="-11"/>
          <w:w w:val="105"/>
          <w:sz w:val="21"/>
        </w:rPr>
        <w:t> </w:t>
      </w:r>
      <w:r>
        <w:rPr>
          <w:w w:val="105"/>
          <w:sz w:val="21"/>
        </w:rPr>
        <w:t>payable</w:t>
      </w:r>
      <w:r>
        <w:rPr>
          <w:spacing w:val="-5"/>
          <w:w w:val="105"/>
          <w:sz w:val="21"/>
        </w:rPr>
        <w:t> </w:t>
      </w:r>
      <w:r>
        <w:rPr>
          <w:w w:val="105"/>
          <w:sz w:val="21"/>
        </w:rPr>
        <w:t>is</w:t>
      </w:r>
      <w:r>
        <w:rPr>
          <w:spacing w:val="-10"/>
          <w:w w:val="105"/>
          <w:sz w:val="21"/>
        </w:rPr>
        <w:t> </w:t>
      </w:r>
      <w:r>
        <w:rPr>
          <w:w w:val="105"/>
          <w:sz w:val="21"/>
        </w:rPr>
        <w:t>commercially</w:t>
      </w:r>
      <w:r>
        <w:rPr>
          <w:spacing w:val="9"/>
          <w:w w:val="105"/>
          <w:sz w:val="21"/>
        </w:rPr>
        <w:t> </w:t>
      </w:r>
      <w:r>
        <w:rPr>
          <w:w w:val="105"/>
          <w:sz w:val="21"/>
        </w:rPr>
        <w:t>confidential.</w:t>
      </w:r>
    </w:p>
    <w:p>
      <w:pPr>
        <w:pStyle w:val="BodyText"/>
        <w:spacing w:before="4"/>
        <w:rPr>
          <w:sz w:val="22"/>
        </w:rPr>
      </w:pPr>
    </w:p>
    <w:p>
      <w:pPr>
        <w:pStyle w:val="Heading1"/>
        <w:ind w:left="293"/>
      </w:pPr>
      <w:r>
        <w:rPr>
          <w:w w:val="105"/>
        </w:rPr>
        <w:t>Calculating</w:t>
      </w:r>
      <w:r>
        <w:rPr>
          <w:spacing w:val="-21"/>
          <w:w w:val="105"/>
        </w:rPr>
        <w:t> </w:t>
      </w:r>
      <w:r>
        <w:rPr>
          <w:w w:val="105"/>
        </w:rPr>
        <w:t>VoTI</w:t>
      </w:r>
    </w:p>
    <w:p>
      <w:pPr>
        <w:pStyle w:val="BodyText"/>
        <w:spacing w:before="3"/>
        <w:rPr>
          <w:b/>
          <w:sz w:val="23"/>
        </w:rPr>
      </w:pPr>
    </w:p>
    <w:p>
      <w:pPr>
        <w:pStyle w:val="BodyText"/>
        <w:spacing w:line="252" w:lineRule="auto"/>
        <w:ind w:left="286" w:right="676" w:firstLine="7"/>
      </w:pPr>
      <w:r>
        <w:rPr>
          <w:w w:val="105"/>
        </w:rPr>
        <w:t>VoTl is used as the basis for the levying of Goods and Services Tax (GST) for imported goods. VoTl is the sum of the customs value of the goods, the amount of overseas transport and insurance, any customs duty payable and any wine equalisation tax payable.</w:t>
      </w:r>
    </w:p>
    <w:p>
      <w:pPr>
        <w:pStyle w:val="BodyText"/>
        <w:spacing w:before="10"/>
        <w:rPr>
          <w:sz w:val="13"/>
        </w:rPr>
      </w:pPr>
    </w:p>
    <w:p>
      <w:pPr>
        <w:pStyle w:val="BodyText"/>
        <w:spacing w:before="94"/>
        <w:ind w:left="287"/>
        <w:jc w:val="both"/>
      </w:pPr>
      <w:r>
        <w:rPr>
          <w:w w:val="105"/>
          <w:u w:val="thick"/>
        </w:rPr>
        <w:t>Declaring Transport and Insurance</w:t>
      </w:r>
    </w:p>
    <w:p>
      <w:pPr>
        <w:pStyle w:val="BodyText"/>
        <w:spacing w:before="3"/>
        <w:rPr>
          <w:sz w:val="23"/>
        </w:rPr>
      </w:pPr>
    </w:p>
    <w:p>
      <w:pPr>
        <w:pStyle w:val="BodyText"/>
        <w:spacing w:line="249" w:lineRule="auto"/>
        <w:ind w:left="280" w:right="360" w:firstLine="4"/>
        <w:jc w:val="both"/>
      </w:pPr>
      <w:r>
        <w:rPr>
          <w:w w:val="105"/>
        </w:rPr>
        <w:t>The</w:t>
      </w:r>
      <w:r>
        <w:rPr>
          <w:spacing w:val="-15"/>
          <w:w w:val="105"/>
        </w:rPr>
        <w:t> </w:t>
      </w:r>
      <w:r>
        <w:rPr>
          <w:w w:val="105"/>
        </w:rPr>
        <w:t>amending</w:t>
      </w:r>
      <w:r>
        <w:rPr>
          <w:spacing w:val="-6"/>
          <w:w w:val="105"/>
        </w:rPr>
        <w:t> </w:t>
      </w:r>
      <w:r>
        <w:rPr>
          <w:w w:val="105"/>
        </w:rPr>
        <w:t>Act</w:t>
      </w:r>
      <w:r>
        <w:rPr>
          <w:spacing w:val="-18"/>
          <w:w w:val="105"/>
        </w:rPr>
        <w:t> </w:t>
      </w:r>
      <w:r>
        <w:rPr>
          <w:w w:val="105"/>
        </w:rPr>
        <w:t>provides</w:t>
      </w:r>
      <w:r>
        <w:rPr>
          <w:spacing w:val="-2"/>
          <w:w w:val="105"/>
        </w:rPr>
        <w:t> </w:t>
      </w:r>
      <w:r>
        <w:rPr>
          <w:w w:val="105"/>
        </w:rPr>
        <w:t>an</w:t>
      </w:r>
      <w:r>
        <w:rPr>
          <w:spacing w:val="-20"/>
          <w:w w:val="105"/>
        </w:rPr>
        <w:t> </w:t>
      </w:r>
      <w:r>
        <w:rPr>
          <w:w w:val="105"/>
        </w:rPr>
        <w:t>alternative</w:t>
      </w:r>
      <w:r>
        <w:rPr>
          <w:spacing w:val="-2"/>
          <w:w w:val="105"/>
        </w:rPr>
        <w:t> </w:t>
      </w:r>
      <w:r>
        <w:rPr>
          <w:w w:val="105"/>
        </w:rPr>
        <w:t>to</w:t>
      </w:r>
      <w:r>
        <w:rPr>
          <w:spacing w:val="-16"/>
          <w:w w:val="105"/>
        </w:rPr>
        <w:t> </w:t>
      </w:r>
      <w:r>
        <w:rPr>
          <w:w w:val="105"/>
        </w:rPr>
        <w:t>providing</w:t>
      </w:r>
      <w:r>
        <w:rPr>
          <w:spacing w:val="-3"/>
          <w:w w:val="105"/>
        </w:rPr>
        <w:t> </w:t>
      </w:r>
      <w:r>
        <w:rPr>
          <w:w w:val="105"/>
        </w:rPr>
        <w:t>actual</w:t>
      </w:r>
      <w:r>
        <w:rPr>
          <w:spacing w:val="-11"/>
          <w:w w:val="105"/>
        </w:rPr>
        <w:t> </w:t>
      </w:r>
      <w:r>
        <w:rPr>
          <w:w w:val="105"/>
        </w:rPr>
        <w:t>transport,</w:t>
      </w:r>
      <w:r>
        <w:rPr>
          <w:spacing w:val="-2"/>
          <w:w w:val="105"/>
        </w:rPr>
        <w:t> </w:t>
      </w:r>
      <w:r>
        <w:rPr>
          <w:w w:val="105"/>
        </w:rPr>
        <w:t>insurance</w:t>
      </w:r>
      <w:r>
        <w:rPr>
          <w:spacing w:val="-6"/>
          <w:w w:val="105"/>
        </w:rPr>
        <w:t> </w:t>
      </w:r>
      <w:r>
        <w:rPr>
          <w:w w:val="105"/>
        </w:rPr>
        <w:t>and</w:t>
      </w:r>
      <w:r>
        <w:rPr>
          <w:spacing w:val="-15"/>
          <w:w w:val="105"/>
        </w:rPr>
        <w:t> </w:t>
      </w:r>
      <w:r>
        <w:rPr>
          <w:w w:val="105"/>
        </w:rPr>
        <w:t>ancillary costs</w:t>
      </w:r>
      <w:r>
        <w:rPr>
          <w:spacing w:val="-5"/>
          <w:w w:val="105"/>
        </w:rPr>
        <w:t> </w:t>
      </w:r>
      <w:r>
        <w:rPr>
          <w:w w:val="105"/>
        </w:rPr>
        <w:t>for</w:t>
      </w:r>
      <w:r>
        <w:rPr>
          <w:spacing w:val="-10"/>
          <w:w w:val="105"/>
        </w:rPr>
        <w:t> </w:t>
      </w:r>
      <w:r>
        <w:rPr>
          <w:w w:val="105"/>
        </w:rPr>
        <w:t>imported</w:t>
      </w:r>
      <w:r>
        <w:rPr>
          <w:spacing w:val="-7"/>
          <w:w w:val="105"/>
        </w:rPr>
        <w:t> </w:t>
      </w:r>
      <w:r>
        <w:rPr>
          <w:w w:val="105"/>
        </w:rPr>
        <w:t>goods</w:t>
      </w:r>
      <w:r>
        <w:rPr>
          <w:spacing w:val="-9"/>
          <w:w w:val="105"/>
        </w:rPr>
        <w:t> </w:t>
      </w:r>
      <w:r>
        <w:rPr>
          <w:w w:val="105"/>
        </w:rPr>
        <w:t>for</w:t>
      </w:r>
      <w:r>
        <w:rPr>
          <w:spacing w:val="-9"/>
          <w:w w:val="105"/>
        </w:rPr>
        <w:t> </w:t>
      </w:r>
      <w:r>
        <w:rPr>
          <w:w w:val="105"/>
        </w:rPr>
        <w:t>the</w:t>
      </w:r>
      <w:r>
        <w:rPr>
          <w:spacing w:val="-6"/>
          <w:w w:val="105"/>
        </w:rPr>
        <w:t> </w:t>
      </w:r>
      <w:r>
        <w:rPr>
          <w:w w:val="105"/>
        </w:rPr>
        <w:t>purposes</w:t>
      </w:r>
      <w:r>
        <w:rPr>
          <w:spacing w:val="-1"/>
          <w:w w:val="105"/>
        </w:rPr>
        <w:t> </w:t>
      </w:r>
      <w:r>
        <w:rPr>
          <w:w w:val="105"/>
        </w:rPr>
        <w:t>of</w:t>
      </w:r>
      <w:r>
        <w:rPr>
          <w:spacing w:val="-8"/>
          <w:w w:val="105"/>
        </w:rPr>
        <w:t> </w:t>
      </w:r>
      <w:r>
        <w:rPr>
          <w:w w:val="105"/>
        </w:rPr>
        <w:t>calculating</w:t>
      </w:r>
      <w:r>
        <w:rPr>
          <w:spacing w:val="4"/>
          <w:w w:val="105"/>
        </w:rPr>
        <w:t> </w:t>
      </w:r>
      <w:r>
        <w:rPr>
          <w:w w:val="105"/>
        </w:rPr>
        <w:t>the</w:t>
      </w:r>
      <w:r>
        <w:rPr>
          <w:spacing w:val="-4"/>
          <w:w w:val="105"/>
        </w:rPr>
        <w:t> </w:t>
      </w:r>
      <w:r>
        <w:rPr>
          <w:w w:val="105"/>
        </w:rPr>
        <w:t>VoTl.</w:t>
      </w:r>
      <w:r>
        <w:rPr>
          <w:spacing w:val="3"/>
          <w:w w:val="105"/>
        </w:rPr>
        <w:t> </w:t>
      </w:r>
      <w:r>
        <w:rPr>
          <w:w w:val="105"/>
        </w:rPr>
        <w:t>The</w:t>
      </w:r>
      <w:r>
        <w:rPr>
          <w:spacing w:val="-11"/>
          <w:w w:val="105"/>
        </w:rPr>
        <w:t> </w:t>
      </w:r>
      <w:r>
        <w:rPr>
          <w:w w:val="105"/>
        </w:rPr>
        <w:t>amending</w:t>
      </w:r>
      <w:r>
        <w:rPr>
          <w:spacing w:val="6"/>
          <w:w w:val="105"/>
        </w:rPr>
        <w:t> </w:t>
      </w:r>
      <w:r>
        <w:rPr>
          <w:w w:val="105"/>
        </w:rPr>
        <w:t>Act</w:t>
      </w:r>
      <w:r>
        <w:rPr>
          <w:spacing w:val="-12"/>
          <w:w w:val="105"/>
        </w:rPr>
        <w:t> </w:t>
      </w:r>
      <w:r>
        <w:rPr>
          <w:w w:val="105"/>
        </w:rPr>
        <w:t>will</w:t>
      </w:r>
      <w:r>
        <w:rPr>
          <w:spacing w:val="-7"/>
          <w:w w:val="105"/>
        </w:rPr>
        <w:t> </w:t>
      </w:r>
      <w:r>
        <w:rPr>
          <w:w w:val="105"/>
        </w:rPr>
        <w:t>come into force on 1 October 2016.</w:t>
      </w:r>
    </w:p>
    <w:p>
      <w:pPr>
        <w:pStyle w:val="BodyText"/>
        <w:spacing w:before="2"/>
        <w:rPr>
          <w:sz w:val="22"/>
        </w:rPr>
      </w:pPr>
    </w:p>
    <w:p>
      <w:pPr>
        <w:spacing w:before="0"/>
        <w:ind w:left="284" w:right="0" w:firstLine="0"/>
        <w:jc w:val="both"/>
        <w:rPr>
          <w:i/>
          <w:sz w:val="21"/>
        </w:rPr>
      </w:pPr>
      <w:r>
        <w:rPr>
          <w:i/>
          <w:w w:val="105"/>
          <w:sz w:val="21"/>
        </w:rPr>
        <w:t>FOB Contracts</w:t>
      </w:r>
    </w:p>
    <w:p>
      <w:pPr>
        <w:pStyle w:val="BodyText"/>
        <w:spacing w:line="252" w:lineRule="auto" w:before="13"/>
        <w:ind w:left="280" w:right="151" w:firstLine="5"/>
      </w:pPr>
      <w:r>
        <w:rPr>
          <w:w w:val="105"/>
        </w:rPr>
        <w:t>From 1 October 2016, GST-registered importers or their agents may, when calculating the VoTI, use actual freight and insurance amounts </w:t>
      </w:r>
      <w:r>
        <w:rPr>
          <w:w w:val="105"/>
          <w:u w:val="thick"/>
        </w:rPr>
        <w:t>or</w:t>
      </w:r>
      <w:r>
        <w:rPr>
          <w:w w:val="105"/>
        </w:rPr>
        <w:t> use a specified percentage</w:t>
      </w:r>
      <w:r>
        <w:rPr>
          <w:w w:val="105"/>
          <w:vertAlign w:val="superscript"/>
        </w:rPr>
        <w:t>2</w:t>
      </w:r>
      <w:r>
        <w:rPr>
          <w:w w:val="105"/>
          <w:vertAlign w:val="baseline"/>
        </w:rPr>
        <w:t> (10 per cent from</w:t>
      </w:r>
    </w:p>
    <w:p>
      <w:pPr>
        <w:pStyle w:val="BodyText"/>
        <w:spacing w:line="249" w:lineRule="auto" w:before="2"/>
        <w:ind w:left="277" w:firstLine="3"/>
      </w:pPr>
      <w:r>
        <w:rPr>
          <w:w w:val="105"/>
        </w:rPr>
        <w:t>1 October 2016) of the customs value as the freight and insurance amount on an import declaration, when goods are imported under an FOB contract, or any other contract which does not include overseas freight and insurance in the contract price.</w:t>
      </w:r>
    </w:p>
    <w:p>
      <w:pPr>
        <w:pStyle w:val="BodyText"/>
        <w:spacing w:before="7"/>
        <w:rPr>
          <w:sz w:val="22"/>
        </w:rPr>
      </w:pPr>
    </w:p>
    <w:p>
      <w:pPr>
        <w:pStyle w:val="BodyText"/>
        <w:spacing w:line="247" w:lineRule="auto"/>
        <w:ind w:left="277" w:right="84" w:hanging="1"/>
      </w:pPr>
      <w:r>
        <w:rPr>
          <w:w w:val="105"/>
        </w:rPr>
        <w:t>When using a specified percentage, a GST-registered importer or their agent will have the option of apportioning the 10 per cent between the freight and insurance fields on an import declaration.</w:t>
      </w:r>
    </w:p>
    <w:p>
      <w:pPr>
        <w:pStyle w:val="BodyText"/>
        <w:spacing w:before="6"/>
        <w:rPr>
          <w:sz w:val="18"/>
        </w:rPr>
      </w:pPr>
      <w:r>
        <w:rPr/>
        <w:pict>
          <v:shape style="position:absolute;margin-left:87.400887pt;margin-top:12.862716pt;width:145.050pt;height:.1pt;mso-position-horizontal-relative:page;mso-position-vertical-relative:paragraph;z-index:-15725568;mso-wrap-distance-left:0;mso-wrap-distance-right:0" coordorigin="1748,257" coordsize="2901,0" path="m1748,257l4649,257e" filled="false" stroked="true" strokeweight=".480319pt" strokecolor="#000000">
            <v:path arrowok="t"/>
            <v:stroke dashstyle="solid"/>
            <w10:wrap type="topAndBottom"/>
          </v:shape>
        </w:pict>
      </w:r>
    </w:p>
    <w:p>
      <w:pPr>
        <w:pStyle w:val="ListParagraph"/>
        <w:numPr>
          <w:ilvl w:val="1"/>
          <w:numId w:val="1"/>
        </w:numPr>
        <w:tabs>
          <w:tab w:pos="815" w:val="left" w:leader="none"/>
        </w:tabs>
        <w:spacing w:line="273" w:lineRule="auto" w:before="66" w:after="0"/>
        <w:ind w:left="692" w:right="1188" w:firstLine="6"/>
        <w:jc w:val="left"/>
        <w:rPr>
          <w:sz w:val="12"/>
        </w:rPr>
      </w:pPr>
      <w:r>
        <w:rPr>
          <w:w w:val="105"/>
          <w:sz w:val="15"/>
        </w:rPr>
        <w:t>The amending Act states that, unless the A New Tax System (Goods and Services Tax) Regulations 1999 (the amending Regulations) prescribe another amount, the specified percentage would be 10 per cent.</w:t>
      </w:r>
    </w:p>
    <w:p>
      <w:pPr>
        <w:spacing w:after="0" w:line="273" w:lineRule="auto"/>
        <w:jc w:val="left"/>
        <w:rPr>
          <w:sz w:val="12"/>
        </w:rPr>
        <w:sectPr>
          <w:headerReference w:type="default" r:id="rId6"/>
          <w:pgSz w:w="11900" w:h="16840"/>
          <w:pgMar w:header="793" w:footer="0" w:top="900" w:bottom="280" w:left="1060" w:right="1020"/>
          <w:pgNumType w:start="2"/>
        </w:sectPr>
      </w:pPr>
    </w:p>
    <w:p>
      <w:pPr>
        <w:pStyle w:val="BodyText"/>
        <w:spacing w:before="6"/>
        <w:rPr>
          <w:sz w:val="13"/>
        </w:rPr>
      </w:pPr>
    </w:p>
    <w:p>
      <w:pPr>
        <w:pStyle w:val="BodyText"/>
        <w:spacing w:line="249" w:lineRule="auto" w:before="94"/>
        <w:ind w:left="288" w:hanging="1"/>
      </w:pPr>
      <w:bookmarkStart w:name="Page 3" w:id="3"/>
      <w:bookmarkEnd w:id="3"/>
      <w:r>
        <w:rPr/>
      </w:r>
      <w:r>
        <w:rPr>
          <w:color w:val="3D3D3D"/>
          <w:w w:val="105"/>
        </w:rPr>
        <w:t>For</w:t>
      </w:r>
      <w:r>
        <w:rPr>
          <w:color w:val="3D3D3D"/>
          <w:spacing w:val="-9"/>
          <w:w w:val="105"/>
        </w:rPr>
        <w:t> </w:t>
      </w:r>
      <w:r>
        <w:rPr>
          <w:color w:val="3D3D3D"/>
          <w:w w:val="105"/>
        </w:rPr>
        <w:t>example,</w:t>
      </w:r>
      <w:r>
        <w:rPr>
          <w:color w:val="3D3D3D"/>
          <w:spacing w:val="-8"/>
          <w:w w:val="105"/>
        </w:rPr>
        <w:t> </w:t>
      </w:r>
      <w:r>
        <w:rPr>
          <w:color w:val="4D4F4F"/>
          <w:w w:val="105"/>
        </w:rPr>
        <w:t>if</w:t>
      </w:r>
      <w:r>
        <w:rPr>
          <w:color w:val="4D4F4F"/>
          <w:spacing w:val="-11"/>
          <w:w w:val="105"/>
        </w:rPr>
        <w:t> </w:t>
      </w:r>
      <w:r>
        <w:rPr>
          <w:color w:val="4D4F4F"/>
          <w:w w:val="105"/>
        </w:rPr>
        <w:t>the</w:t>
      </w:r>
      <w:r>
        <w:rPr>
          <w:color w:val="4D4F4F"/>
          <w:spacing w:val="-13"/>
          <w:w w:val="105"/>
        </w:rPr>
        <w:t> </w:t>
      </w:r>
      <w:r>
        <w:rPr>
          <w:color w:val="3D3D3D"/>
          <w:w w:val="105"/>
        </w:rPr>
        <w:t>customs</w:t>
      </w:r>
      <w:r>
        <w:rPr>
          <w:color w:val="3D3D3D"/>
          <w:spacing w:val="3"/>
          <w:w w:val="105"/>
        </w:rPr>
        <w:t> </w:t>
      </w:r>
      <w:r>
        <w:rPr>
          <w:color w:val="3D3D3D"/>
          <w:w w:val="105"/>
        </w:rPr>
        <w:t>value</w:t>
      </w:r>
      <w:r>
        <w:rPr>
          <w:color w:val="3D3D3D"/>
          <w:spacing w:val="-7"/>
          <w:w w:val="105"/>
        </w:rPr>
        <w:t> </w:t>
      </w:r>
      <w:r>
        <w:rPr>
          <w:color w:val="3D3D3D"/>
          <w:w w:val="105"/>
        </w:rPr>
        <w:t>of</w:t>
      </w:r>
      <w:r>
        <w:rPr>
          <w:color w:val="3D3D3D"/>
          <w:spacing w:val="-11"/>
          <w:w w:val="105"/>
        </w:rPr>
        <w:t> </w:t>
      </w:r>
      <w:r>
        <w:rPr>
          <w:color w:val="3D3D3D"/>
          <w:w w:val="105"/>
        </w:rPr>
        <w:t>the</w:t>
      </w:r>
      <w:r>
        <w:rPr>
          <w:color w:val="3D3D3D"/>
          <w:spacing w:val="-15"/>
          <w:w w:val="105"/>
        </w:rPr>
        <w:t> </w:t>
      </w:r>
      <w:r>
        <w:rPr>
          <w:color w:val="3D3D3D"/>
          <w:w w:val="105"/>
        </w:rPr>
        <w:t>goods</w:t>
      </w:r>
      <w:r>
        <w:rPr>
          <w:color w:val="3D3D3D"/>
          <w:spacing w:val="-5"/>
          <w:w w:val="105"/>
        </w:rPr>
        <w:t> </w:t>
      </w:r>
      <w:r>
        <w:rPr>
          <w:color w:val="3D3D3D"/>
          <w:w w:val="105"/>
        </w:rPr>
        <w:t>is</w:t>
      </w:r>
      <w:r>
        <w:rPr>
          <w:color w:val="3D3D3D"/>
          <w:spacing w:val="-13"/>
          <w:w w:val="105"/>
        </w:rPr>
        <w:t> </w:t>
      </w:r>
      <w:r>
        <w:rPr>
          <w:color w:val="3D3D3D"/>
          <w:w w:val="105"/>
        </w:rPr>
        <w:t>AUD10,000, the</w:t>
      </w:r>
      <w:r>
        <w:rPr>
          <w:color w:val="3D3D3D"/>
          <w:spacing w:val="-12"/>
          <w:w w:val="105"/>
        </w:rPr>
        <w:t> </w:t>
      </w:r>
      <w:r>
        <w:rPr>
          <w:color w:val="3D3D3D"/>
          <w:w w:val="105"/>
        </w:rPr>
        <w:t>importer</w:t>
      </w:r>
      <w:r>
        <w:rPr>
          <w:color w:val="3D3D3D"/>
          <w:spacing w:val="-1"/>
          <w:w w:val="105"/>
        </w:rPr>
        <w:t> </w:t>
      </w:r>
      <w:r>
        <w:rPr>
          <w:color w:val="3D3D3D"/>
          <w:w w:val="105"/>
        </w:rPr>
        <w:t>or</w:t>
      </w:r>
      <w:r>
        <w:rPr>
          <w:color w:val="3D3D3D"/>
          <w:spacing w:val="-9"/>
          <w:w w:val="105"/>
        </w:rPr>
        <w:t> </w:t>
      </w:r>
      <w:r>
        <w:rPr>
          <w:color w:val="3D3D3D"/>
          <w:w w:val="105"/>
        </w:rPr>
        <w:t>their</w:t>
      </w:r>
      <w:r>
        <w:rPr>
          <w:color w:val="3D3D3D"/>
          <w:spacing w:val="-10"/>
          <w:w w:val="105"/>
        </w:rPr>
        <w:t> </w:t>
      </w:r>
      <w:r>
        <w:rPr>
          <w:color w:val="3D3D3D"/>
          <w:w w:val="105"/>
        </w:rPr>
        <w:t>agent</w:t>
      </w:r>
      <w:r>
        <w:rPr>
          <w:color w:val="3D3D3D"/>
          <w:spacing w:val="-8"/>
          <w:w w:val="105"/>
        </w:rPr>
        <w:t> </w:t>
      </w:r>
      <w:r>
        <w:rPr>
          <w:color w:val="3D3D3D"/>
          <w:w w:val="105"/>
        </w:rPr>
        <w:t>may declare that the total amount paid for freight and insurance is AUD1,000, with the AUD1,000 apportioned between the overseas freight and insurance fields as deemed suitable.</w:t>
      </w:r>
    </w:p>
    <w:p>
      <w:pPr>
        <w:pStyle w:val="BodyText"/>
        <w:spacing w:before="2"/>
        <w:rPr>
          <w:sz w:val="22"/>
        </w:rPr>
      </w:pPr>
    </w:p>
    <w:p>
      <w:pPr>
        <w:pStyle w:val="BodyText"/>
        <w:spacing w:line="252" w:lineRule="auto" w:before="1"/>
        <w:ind w:left="287" w:right="131" w:firstLine="3"/>
      </w:pPr>
      <w:r>
        <w:rPr>
          <w:color w:val="2D2F2F"/>
          <w:w w:val="105"/>
        </w:rPr>
        <w:t>If</w:t>
      </w:r>
      <w:r>
        <w:rPr>
          <w:color w:val="2D2F2F"/>
          <w:spacing w:val="-14"/>
          <w:w w:val="105"/>
        </w:rPr>
        <w:t> </w:t>
      </w:r>
      <w:r>
        <w:rPr>
          <w:color w:val="3D3D3D"/>
          <w:w w:val="105"/>
        </w:rPr>
        <w:t>the</w:t>
      </w:r>
      <w:r>
        <w:rPr>
          <w:color w:val="3D3D3D"/>
          <w:spacing w:val="-15"/>
          <w:w w:val="105"/>
        </w:rPr>
        <w:t> </w:t>
      </w:r>
      <w:r>
        <w:rPr>
          <w:color w:val="3D3D3D"/>
          <w:w w:val="105"/>
        </w:rPr>
        <w:t>actual</w:t>
      </w:r>
      <w:r>
        <w:rPr>
          <w:color w:val="3D3D3D"/>
          <w:spacing w:val="-15"/>
          <w:w w:val="105"/>
        </w:rPr>
        <w:t> </w:t>
      </w:r>
      <w:r>
        <w:rPr>
          <w:color w:val="3D3D3D"/>
          <w:w w:val="105"/>
        </w:rPr>
        <w:t>freight</w:t>
      </w:r>
      <w:r>
        <w:rPr>
          <w:color w:val="3D3D3D"/>
          <w:spacing w:val="-8"/>
          <w:w w:val="105"/>
        </w:rPr>
        <w:t> </w:t>
      </w:r>
      <w:r>
        <w:rPr>
          <w:color w:val="3D3D3D"/>
          <w:w w:val="105"/>
        </w:rPr>
        <w:t>and</w:t>
      </w:r>
      <w:r>
        <w:rPr>
          <w:color w:val="3D3D3D"/>
          <w:spacing w:val="-17"/>
          <w:w w:val="105"/>
        </w:rPr>
        <w:t> </w:t>
      </w:r>
      <w:r>
        <w:rPr>
          <w:color w:val="3D3D3D"/>
          <w:w w:val="105"/>
        </w:rPr>
        <w:t>insurance</w:t>
      </w:r>
      <w:r>
        <w:rPr>
          <w:color w:val="3D3D3D"/>
          <w:spacing w:val="-3"/>
          <w:w w:val="105"/>
        </w:rPr>
        <w:t> </w:t>
      </w:r>
      <w:r>
        <w:rPr>
          <w:color w:val="3D3D3D"/>
          <w:w w:val="105"/>
        </w:rPr>
        <w:t>amounts</w:t>
      </w:r>
      <w:r>
        <w:rPr>
          <w:color w:val="3D3D3D"/>
          <w:spacing w:val="-7"/>
          <w:w w:val="105"/>
        </w:rPr>
        <w:t> </w:t>
      </w:r>
      <w:r>
        <w:rPr>
          <w:color w:val="3D3D3D"/>
          <w:w w:val="105"/>
        </w:rPr>
        <w:t>become</w:t>
      </w:r>
      <w:r>
        <w:rPr>
          <w:color w:val="3D3D3D"/>
          <w:spacing w:val="-9"/>
          <w:w w:val="105"/>
        </w:rPr>
        <w:t> </w:t>
      </w:r>
      <w:r>
        <w:rPr>
          <w:color w:val="3D3D3D"/>
          <w:w w:val="105"/>
        </w:rPr>
        <w:t>known</w:t>
      </w:r>
      <w:r>
        <w:rPr>
          <w:color w:val="3D3D3D"/>
          <w:spacing w:val="-7"/>
          <w:w w:val="105"/>
        </w:rPr>
        <w:t> </w:t>
      </w:r>
      <w:r>
        <w:rPr>
          <w:color w:val="3D3D3D"/>
          <w:w w:val="105"/>
        </w:rPr>
        <w:t>after</w:t>
      </w:r>
      <w:r>
        <w:rPr>
          <w:color w:val="3D3D3D"/>
          <w:spacing w:val="-8"/>
          <w:w w:val="105"/>
        </w:rPr>
        <w:t> </w:t>
      </w:r>
      <w:r>
        <w:rPr>
          <w:color w:val="3D3D3D"/>
          <w:w w:val="105"/>
        </w:rPr>
        <w:t>the</w:t>
      </w:r>
      <w:r>
        <w:rPr>
          <w:color w:val="3D3D3D"/>
          <w:spacing w:val="-12"/>
          <w:w w:val="105"/>
        </w:rPr>
        <w:t> </w:t>
      </w:r>
      <w:r>
        <w:rPr>
          <w:color w:val="3D3D3D"/>
          <w:w w:val="105"/>
        </w:rPr>
        <w:t>specified</w:t>
      </w:r>
      <w:r>
        <w:rPr>
          <w:color w:val="3D3D3D"/>
          <w:spacing w:val="-9"/>
          <w:w w:val="105"/>
        </w:rPr>
        <w:t> </w:t>
      </w:r>
      <w:r>
        <w:rPr>
          <w:color w:val="3D3D3D"/>
          <w:w w:val="105"/>
        </w:rPr>
        <w:t>percentage</w:t>
      </w:r>
      <w:r>
        <w:rPr>
          <w:color w:val="3D3D3D"/>
          <w:spacing w:val="-4"/>
          <w:w w:val="105"/>
        </w:rPr>
        <w:t> </w:t>
      </w:r>
      <w:r>
        <w:rPr>
          <w:color w:val="3D3D3D"/>
          <w:w w:val="105"/>
        </w:rPr>
        <w:t>has been used, the import declaration will not require</w:t>
      </w:r>
      <w:r>
        <w:rPr>
          <w:color w:val="3D3D3D"/>
          <w:spacing w:val="26"/>
          <w:w w:val="105"/>
        </w:rPr>
        <w:t> </w:t>
      </w:r>
      <w:r>
        <w:rPr>
          <w:color w:val="3D3D3D"/>
          <w:w w:val="105"/>
        </w:rPr>
        <w:t>amendment.</w:t>
      </w:r>
    </w:p>
    <w:p>
      <w:pPr>
        <w:pStyle w:val="BodyText"/>
        <w:spacing w:before="10"/>
      </w:pPr>
    </w:p>
    <w:p>
      <w:pPr>
        <w:spacing w:before="0"/>
        <w:ind w:left="281" w:right="0" w:firstLine="0"/>
        <w:jc w:val="left"/>
        <w:rPr>
          <w:i/>
          <w:sz w:val="21"/>
        </w:rPr>
      </w:pPr>
      <w:r>
        <w:rPr>
          <w:i/>
          <w:color w:val="3D3D3D"/>
          <w:sz w:val="21"/>
        </w:rPr>
        <w:t>Contracts other </w:t>
      </w:r>
      <w:r>
        <w:rPr>
          <w:i/>
          <w:color w:val="4D4F4F"/>
          <w:sz w:val="21"/>
        </w:rPr>
        <w:t>than </w:t>
      </w:r>
      <w:r>
        <w:rPr>
          <w:i/>
          <w:color w:val="3D3D3D"/>
          <w:sz w:val="21"/>
        </w:rPr>
        <w:t>FOB Contracts</w:t>
      </w:r>
    </w:p>
    <w:p>
      <w:pPr>
        <w:pStyle w:val="BodyText"/>
        <w:spacing w:line="249" w:lineRule="auto" w:before="13"/>
        <w:ind w:left="279" w:right="892" w:firstLine="1"/>
      </w:pPr>
      <w:r>
        <w:rPr>
          <w:color w:val="3D3D3D"/>
          <w:w w:val="105"/>
        </w:rPr>
        <w:t>The amending Act does not change how importers or their agents report the overseas freight and insurance amounts for goods imported under CIF, CFR or another contract in which the overseas freight and insurance amounts are included in the contract price.</w:t>
      </w:r>
    </w:p>
    <w:p>
      <w:pPr>
        <w:pStyle w:val="BodyText"/>
        <w:spacing w:line="249" w:lineRule="auto" w:before="11"/>
        <w:ind w:left="277" w:right="704" w:firstLine="3"/>
      </w:pPr>
      <w:r>
        <w:rPr>
          <w:color w:val="3D3D3D"/>
          <w:w w:val="105"/>
        </w:rPr>
        <w:t>Importers or their agents are required to declare the actual amounts paid or payable for freight</w:t>
      </w:r>
      <w:r>
        <w:rPr>
          <w:color w:val="3D3D3D"/>
          <w:spacing w:val="-3"/>
          <w:w w:val="105"/>
        </w:rPr>
        <w:t> </w:t>
      </w:r>
      <w:r>
        <w:rPr>
          <w:color w:val="3D3D3D"/>
          <w:w w:val="105"/>
        </w:rPr>
        <w:t>and</w:t>
      </w:r>
      <w:r>
        <w:rPr>
          <w:color w:val="3D3D3D"/>
          <w:spacing w:val="-8"/>
          <w:w w:val="105"/>
        </w:rPr>
        <w:t> </w:t>
      </w:r>
      <w:r>
        <w:rPr>
          <w:color w:val="3D3D3D"/>
          <w:w w:val="105"/>
        </w:rPr>
        <w:t>insurance</w:t>
      </w:r>
      <w:r>
        <w:rPr>
          <w:color w:val="3D3D3D"/>
          <w:spacing w:val="-2"/>
          <w:w w:val="105"/>
        </w:rPr>
        <w:t> </w:t>
      </w:r>
      <w:r>
        <w:rPr>
          <w:color w:val="3D3D3D"/>
          <w:w w:val="105"/>
        </w:rPr>
        <w:t>if</w:t>
      </w:r>
      <w:r>
        <w:rPr>
          <w:color w:val="3D3D3D"/>
          <w:spacing w:val="-10"/>
          <w:w w:val="105"/>
        </w:rPr>
        <w:t> </w:t>
      </w:r>
      <w:r>
        <w:rPr>
          <w:color w:val="3D3D3D"/>
          <w:w w:val="105"/>
        </w:rPr>
        <w:t>they</w:t>
      </w:r>
      <w:r>
        <w:rPr>
          <w:color w:val="3D3D3D"/>
          <w:spacing w:val="-2"/>
          <w:w w:val="105"/>
        </w:rPr>
        <w:t> </w:t>
      </w:r>
      <w:r>
        <w:rPr>
          <w:color w:val="3D3D3D"/>
          <w:w w:val="105"/>
        </w:rPr>
        <w:t>are</w:t>
      </w:r>
      <w:r>
        <w:rPr>
          <w:color w:val="3D3D3D"/>
          <w:spacing w:val="-6"/>
          <w:w w:val="105"/>
        </w:rPr>
        <w:t> </w:t>
      </w:r>
      <w:r>
        <w:rPr>
          <w:color w:val="3D3D3D"/>
          <w:w w:val="105"/>
        </w:rPr>
        <w:t>available. Refer</w:t>
      </w:r>
      <w:r>
        <w:rPr>
          <w:color w:val="3D3D3D"/>
          <w:spacing w:val="-7"/>
          <w:w w:val="105"/>
        </w:rPr>
        <w:t> </w:t>
      </w:r>
      <w:r>
        <w:rPr>
          <w:color w:val="3D3D3D"/>
          <w:w w:val="105"/>
        </w:rPr>
        <w:t>to</w:t>
      </w:r>
      <w:r>
        <w:rPr>
          <w:color w:val="3D3D3D"/>
          <w:spacing w:val="-8"/>
          <w:w w:val="105"/>
        </w:rPr>
        <w:t> </w:t>
      </w:r>
      <w:r>
        <w:rPr>
          <w:color w:val="3D3D3D"/>
          <w:w w:val="105"/>
        </w:rPr>
        <w:t>the</w:t>
      </w:r>
      <w:r>
        <w:rPr>
          <w:color w:val="3D3D3D"/>
          <w:spacing w:val="-8"/>
          <w:w w:val="105"/>
        </w:rPr>
        <w:t> </w:t>
      </w:r>
      <w:r>
        <w:rPr>
          <w:color w:val="4D4F4F"/>
          <w:w w:val="105"/>
        </w:rPr>
        <w:t>'What</w:t>
      </w:r>
      <w:r>
        <w:rPr>
          <w:color w:val="4D4F4F"/>
          <w:spacing w:val="-9"/>
          <w:w w:val="105"/>
        </w:rPr>
        <w:t> </w:t>
      </w:r>
      <w:r>
        <w:rPr>
          <w:color w:val="3D3D3D"/>
          <w:w w:val="105"/>
        </w:rPr>
        <w:t>if</w:t>
      </w:r>
      <w:r>
        <w:rPr>
          <w:color w:val="3D3D3D"/>
          <w:spacing w:val="-8"/>
          <w:w w:val="105"/>
        </w:rPr>
        <w:t> </w:t>
      </w:r>
      <w:r>
        <w:rPr>
          <w:color w:val="3D3D3D"/>
          <w:w w:val="105"/>
        </w:rPr>
        <w:t>the</w:t>
      </w:r>
      <w:r>
        <w:rPr>
          <w:color w:val="3D3D3D"/>
          <w:spacing w:val="-13"/>
          <w:w w:val="105"/>
        </w:rPr>
        <w:t> </w:t>
      </w:r>
      <w:r>
        <w:rPr>
          <w:color w:val="3D3D3D"/>
          <w:w w:val="105"/>
        </w:rPr>
        <w:t>importer</w:t>
      </w:r>
      <w:r>
        <w:rPr>
          <w:color w:val="3D3D3D"/>
          <w:spacing w:val="5"/>
          <w:w w:val="105"/>
        </w:rPr>
        <w:t> </w:t>
      </w:r>
      <w:r>
        <w:rPr>
          <w:color w:val="3D3D3D"/>
          <w:w w:val="105"/>
        </w:rPr>
        <w:t>does</w:t>
      </w:r>
      <w:r>
        <w:rPr>
          <w:color w:val="3D3D3D"/>
          <w:spacing w:val="-10"/>
          <w:w w:val="105"/>
        </w:rPr>
        <w:t> </w:t>
      </w:r>
      <w:r>
        <w:rPr>
          <w:color w:val="3D3D3D"/>
          <w:w w:val="105"/>
        </w:rPr>
        <w:t>not</w:t>
      </w:r>
      <w:r>
        <w:rPr>
          <w:color w:val="3D3D3D"/>
          <w:spacing w:val="-15"/>
          <w:w w:val="105"/>
        </w:rPr>
        <w:t> </w:t>
      </w:r>
      <w:r>
        <w:rPr>
          <w:color w:val="3D3D3D"/>
          <w:w w:val="105"/>
        </w:rPr>
        <w:t>know the</w:t>
      </w:r>
      <w:r>
        <w:rPr>
          <w:color w:val="3D3D3D"/>
          <w:spacing w:val="-14"/>
          <w:w w:val="105"/>
        </w:rPr>
        <w:t> </w:t>
      </w:r>
      <w:r>
        <w:rPr>
          <w:color w:val="3D3D3D"/>
          <w:w w:val="105"/>
        </w:rPr>
        <w:t>overseas</w:t>
      </w:r>
      <w:r>
        <w:rPr>
          <w:color w:val="3D3D3D"/>
          <w:spacing w:val="-12"/>
          <w:w w:val="105"/>
        </w:rPr>
        <w:t> </w:t>
      </w:r>
      <w:r>
        <w:rPr>
          <w:color w:val="3D3D3D"/>
          <w:w w:val="105"/>
        </w:rPr>
        <w:t>freight</w:t>
      </w:r>
      <w:r>
        <w:rPr>
          <w:color w:val="3D3D3D"/>
          <w:spacing w:val="-10"/>
          <w:w w:val="105"/>
        </w:rPr>
        <w:t> </w:t>
      </w:r>
      <w:r>
        <w:rPr>
          <w:color w:val="3D3D3D"/>
          <w:w w:val="105"/>
        </w:rPr>
        <w:t>and</w:t>
      </w:r>
      <w:r>
        <w:rPr>
          <w:color w:val="3D3D3D"/>
          <w:spacing w:val="-21"/>
          <w:w w:val="105"/>
        </w:rPr>
        <w:t> </w:t>
      </w:r>
      <w:r>
        <w:rPr>
          <w:color w:val="3D3D3D"/>
          <w:w w:val="105"/>
        </w:rPr>
        <w:t>insurance</w:t>
      </w:r>
      <w:r>
        <w:rPr>
          <w:color w:val="3D3D3D"/>
          <w:spacing w:val="-6"/>
          <w:w w:val="105"/>
        </w:rPr>
        <w:t> </w:t>
      </w:r>
      <w:r>
        <w:rPr>
          <w:color w:val="3D3D3D"/>
          <w:w w:val="105"/>
        </w:rPr>
        <w:t>amount</w:t>
      </w:r>
      <w:r>
        <w:rPr>
          <w:color w:val="3D3D3D"/>
          <w:spacing w:val="-13"/>
          <w:w w:val="105"/>
        </w:rPr>
        <w:t> </w:t>
      </w:r>
      <w:r>
        <w:rPr>
          <w:color w:val="3D3D3D"/>
          <w:w w:val="105"/>
        </w:rPr>
        <w:t>for</w:t>
      </w:r>
      <w:r>
        <w:rPr>
          <w:color w:val="3D3D3D"/>
          <w:spacing w:val="-12"/>
          <w:w w:val="105"/>
        </w:rPr>
        <w:t> </w:t>
      </w:r>
      <w:r>
        <w:rPr>
          <w:color w:val="3D3D3D"/>
          <w:w w:val="105"/>
        </w:rPr>
        <w:t>customs</w:t>
      </w:r>
      <w:r>
        <w:rPr>
          <w:color w:val="3D3D3D"/>
          <w:spacing w:val="-6"/>
          <w:w w:val="105"/>
        </w:rPr>
        <w:t> </w:t>
      </w:r>
      <w:r>
        <w:rPr>
          <w:color w:val="3D3D3D"/>
          <w:w w:val="105"/>
        </w:rPr>
        <w:t>valuation</w:t>
      </w:r>
      <w:r>
        <w:rPr>
          <w:color w:val="3D3D3D"/>
          <w:spacing w:val="-6"/>
          <w:w w:val="105"/>
        </w:rPr>
        <w:t> </w:t>
      </w:r>
      <w:r>
        <w:rPr>
          <w:color w:val="3D3D3D"/>
          <w:w w:val="105"/>
        </w:rPr>
        <w:t>purposes?</w:t>
      </w:r>
      <w:r>
        <w:rPr>
          <w:color w:val="6D6D6D"/>
          <w:w w:val="105"/>
        </w:rPr>
        <w:t>'</w:t>
      </w:r>
      <w:r>
        <w:rPr>
          <w:color w:val="6D6D6D"/>
          <w:spacing w:val="-12"/>
          <w:w w:val="105"/>
        </w:rPr>
        <w:t> </w:t>
      </w:r>
      <w:r>
        <w:rPr>
          <w:color w:val="3D3D3D"/>
          <w:w w:val="105"/>
        </w:rPr>
        <w:t>section</w:t>
      </w:r>
      <w:r>
        <w:rPr>
          <w:color w:val="3D3D3D"/>
          <w:spacing w:val="-19"/>
          <w:w w:val="105"/>
        </w:rPr>
        <w:t> </w:t>
      </w:r>
      <w:r>
        <w:rPr>
          <w:color w:val="3D3D3D"/>
          <w:w w:val="105"/>
        </w:rPr>
        <w:t>above if the overseas freight and insurance amount is not</w:t>
      </w:r>
      <w:r>
        <w:rPr>
          <w:color w:val="3D3D3D"/>
          <w:spacing w:val="39"/>
          <w:w w:val="105"/>
        </w:rPr>
        <w:t> </w:t>
      </w:r>
      <w:r>
        <w:rPr>
          <w:color w:val="3D3D3D"/>
          <w:w w:val="105"/>
        </w:rPr>
        <w:t>known.</w:t>
      </w:r>
    </w:p>
    <w:p>
      <w:pPr>
        <w:pStyle w:val="BodyText"/>
        <w:spacing w:before="6"/>
        <w:rPr>
          <w:sz w:val="22"/>
        </w:rPr>
      </w:pPr>
    </w:p>
    <w:p>
      <w:pPr>
        <w:pStyle w:val="Heading1"/>
        <w:spacing w:before="1"/>
        <w:ind w:left="281"/>
      </w:pPr>
      <w:r>
        <w:rPr>
          <w:color w:val="3D3D3D"/>
          <w:w w:val="105"/>
        </w:rPr>
        <w:t>Compliance Approach</w:t>
      </w:r>
    </w:p>
    <w:p>
      <w:pPr>
        <w:pStyle w:val="BodyText"/>
        <w:spacing w:before="10"/>
        <w:rPr>
          <w:b/>
          <w:sz w:val="22"/>
        </w:rPr>
      </w:pPr>
    </w:p>
    <w:p>
      <w:pPr>
        <w:pStyle w:val="BodyText"/>
        <w:spacing w:line="252" w:lineRule="auto"/>
        <w:ind w:left="277" w:right="967" w:hanging="1"/>
      </w:pPr>
      <w:r>
        <w:rPr>
          <w:color w:val="3D3D3D"/>
          <w:w w:val="105"/>
        </w:rPr>
        <w:t>The Department through </w:t>
      </w:r>
      <w:r>
        <w:rPr>
          <w:color w:val="2D2F2F"/>
          <w:w w:val="105"/>
        </w:rPr>
        <w:t>its </w:t>
      </w:r>
      <w:r>
        <w:rPr>
          <w:color w:val="3D3D3D"/>
          <w:w w:val="105"/>
        </w:rPr>
        <w:t>operational arm, the Australian Border Force (ABF), will continue to undertake compliance activities in accordance with policy settings described above, to ensure overseas freight and insurance is declared in line with the intent of this notice.</w:t>
      </w:r>
    </w:p>
    <w:p>
      <w:pPr>
        <w:pStyle w:val="BodyText"/>
        <w:spacing w:before="1"/>
        <w:rPr>
          <w:sz w:val="22"/>
        </w:rPr>
      </w:pPr>
    </w:p>
    <w:p>
      <w:pPr>
        <w:pStyle w:val="BodyText"/>
        <w:spacing w:line="252" w:lineRule="auto"/>
        <w:ind w:left="273" w:right="677" w:firstLine="5"/>
      </w:pPr>
      <w:r>
        <w:rPr>
          <w:color w:val="3D3D3D"/>
          <w:w w:val="105"/>
        </w:rPr>
        <w:t>Where overseas freight and insurance has not been declared in </w:t>
      </w:r>
      <w:r>
        <w:rPr>
          <w:color w:val="2D2F2F"/>
          <w:w w:val="105"/>
        </w:rPr>
        <w:t>line </w:t>
      </w:r>
      <w:r>
        <w:rPr>
          <w:color w:val="3D3D3D"/>
          <w:w w:val="105"/>
        </w:rPr>
        <w:t>with this notice, appropriate treatments will be applied. Treatments can range from education and awareness for those genuinely trying to comply, a demand for payment of outstanding duty and taxes, to the issuing of </w:t>
      </w:r>
      <w:r>
        <w:rPr>
          <w:color w:val="4D4F4F"/>
          <w:w w:val="105"/>
        </w:rPr>
        <w:t>infringement </w:t>
      </w:r>
      <w:r>
        <w:rPr>
          <w:color w:val="3D3D3D"/>
          <w:w w:val="105"/>
        </w:rPr>
        <w:t>notices and prosecution for more serious and systemic breaches.</w:t>
      </w:r>
    </w:p>
    <w:p>
      <w:pPr>
        <w:pStyle w:val="BodyText"/>
        <w:spacing w:before="3"/>
        <w:rPr>
          <w:sz w:val="22"/>
        </w:rPr>
      </w:pPr>
    </w:p>
    <w:p>
      <w:pPr>
        <w:pStyle w:val="BodyText"/>
        <w:spacing w:line="252" w:lineRule="auto"/>
        <w:ind w:left="272" w:right="641" w:hanging="1"/>
      </w:pPr>
      <w:r>
        <w:rPr>
          <w:color w:val="3D3D3D"/>
          <w:w w:val="105"/>
        </w:rPr>
        <w:t>The Department and the ABF are committed to working with industry to </w:t>
      </w:r>
      <w:r>
        <w:rPr>
          <w:color w:val="4D4F4F"/>
          <w:w w:val="105"/>
        </w:rPr>
        <w:t>increase </w:t>
      </w:r>
      <w:r>
        <w:rPr>
          <w:color w:val="3D3D3D"/>
          <w:w w:val="105"/>
        </w:rPr>
        <w:t>industry understanding and awareness on the correct declaration of overseas freight and insurance, and to encourage higher levels of voluntary compliance.</w:t>
      </w:r>
    </w:p>
    <w:p>
      <w:pPr>
        <w:pStyle w:val="BodyText"/>
        <w:rPr>
          <w:sz w:val="22"/>
        </w:rPr>
      </w:pPr>
    </w:p>
    <w:p>
      <w:pPr>
        <w:pStyle w:val="Heading1"/>
        <w:spacing w:before="1"/>
        <w:ind w:left="270"/>
      </w:pPr>
      <w:r>
        <w:rPr>
          <w:color w:val="3D3D3D"/>
          <w:w w:val="105"/>
        </w:rPr>
        <w:t>Further </w:t>
      </w:r>
      <w:r>
        <w:rPr>
          <w:color w:val="2D2F2F"/>
          <w:w w:val="105"/>
        </w:rPr>
        <w:t>information</w:t>
      </w:r>
    </w:p>
    <w:p>
      <w:pPr>
        <w:pStyle w:val="BodyText"/>
        <w:spacing w:before="9"/>
        <w:rPr>
          <w:b/>
          <w:sz w:val="22"/>
        </w:rPr>
      </w:pPr>
    </w:p>
    <w:p>
      <w:pPr>
        <w:pStyle w:val="BodyText"/>
        <w:spacing w:line="256" w:lineRule="auto" w:before="1"/>
        <w:ind w:left="268" w:firstLine="3"/>
      </w:pPr>
      <w:r>
        <w:rPr>
          <w:color w:val="3D3D3D"/>
          <w:w w:val="105"/>
        </w:rPr>
        <w:t>Inquiries about this notice should be directed to the Department's Cargo Support Centre at </w:t>
      </w:r>
      <w:hyperlink r:id="rId7">
        <w:r>
          <w:rPr>
            <w:color w:val="3F4D7C"/>
            <w:w w:val="105"/>
            <w:u w:val="thick" w:color="3D3D3D"/>
          </w:rPr>
          <w:t>cargosupport@border.gov.au</w:t>
        </w:r>
      </w:hyperlink>
      <w:r>
        <w:rPr>
          <w:color w:val="3D3D3D"/>
          <w:w w:val="105"/>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r>
        <w:rPr/>
        <w:drawing>
          <wp:anchor distT="0" distB="0" distL="0" distR="0" allowOverlap="1" layoutInCell="1" locked="0" behindDoc="0" simplePos="0" relativeHeight="10">
            <wp:simplePos x="0" y="0"/>
            <wp:positionH relativeFrom="page">
              <wp:posOffset>793812</wp:posOffset>
            </wp:positionH>
            <wp:positionV relativeFrom="paragraph">
              <wp:posOffset>305308</wp:posOffset>
            </wp:positionV>
            <wp:extent cx="1353913" cy="46329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1353913" cy="463295"/>
                    </a:xfrm>
                    <a:prstGeom prst="rect">
                      <a:avLst/>
                    </a:prstGeom>
                  </pic:spPr>
                </pic:pic>
              </a:graphicData>
            </a:graphic>
          </wp:anchor>
        </w:drawing>
      </w:r>
      <w:r>
        <w:rPr/>
        <w:pict>
          <v:group style="position:absolute;margin-left:302.908295pt;margin-top:14.428102pt;width:159.65pt;height:33.65pt;mso-position-horizontal-relative:page;mso-position-vertical-relative:paragraph;z-index:-15723008;mso-wrap-distance-left:0;mso-wrap-distance-right:0" coordorigin="6058,289" coordsize="3193,673">
            <v:shape style="position:absolute;left:6058;top:288;width:2520;height:673" type="#_x0000_t75" stroked="false">
              <v:imagedata r:id="rId9" o:title=""/>
            </v:shape>
            <v:line style="position:absolute" from="8578,812" to="9251,812" stroked="true" strokeweight=".961186pt" strokecolor="#000000">
              <v:stroke dashstyle="solid"/>
            </v:line>
            <w10:wrap type="topAndBottom"/>
          </v:group>
        </w:pict>
      </w:r>
    </w:p>
    <w:p>
      <w:pPr>
        <w:pStyle w:val="BodyText"/>
        <w:spacing w:before="1"/>
        <w:rPr>
          <w:sz w:val="6"/>
        </w:rPr>
      </w:pPr>
    </w:p>
    <w:p>
      <w:pPr>
        <w:spacing w:after="0"/>
        <w:rPr>
          <w:sz w:val="6"/>
        </w:rPr>
        <w:sectPr>
          <w:pgSz w:w="11900" w:h="16840"/>
          <w:pgMar w:header="793" w:footer="0" w:top="900" w:bottom="280" w:left="1060" w:right="1020"/>
        </w:sectPr>
      </w:pPr>
    </w:p>
    <w:p>
      <w:pPr>
        <w:pStyle w:val="BodyText"/>
        <w:spacing w:before="46"/>
        <w:ind w:left="121"/>
      </w:pPr>
      <w:r>
        <w:rPr/>
        <w:pict>
          <v:line style="position:absolute;mso-position-horizontal-relative:page;mso-position-vertical-relative:page;z-index:15734784" from=".120202pt,266.248419pt" to=".120202pt,205.693726pt" stroked="true" strokeweight=".480807pt" strokecolor="#000000">
            <v:stroke dashstyle="solid"/>
            <w10:wrap type="none"/>
          </v:line>
        </w:pict>
      </w:r>
      <w:r>
        <w:rPr>
          <w:color w:val="2D2F2F"/>
          <w:w w:val="105"/>
        </w:rPr>
        <w:t>Jane </w:t>
      </w:r>
      <w:r>
        <w:rPr>
          <w:color w:val="3D3D3D"/>
          <w:w w:val="105"/>
        </w:rPr>
        <w:t>McClintock</w:t>
      </w:r>
    </w:p>
    <w:p>
      <w:pPr>
        <w:pStyle w:val="BodyText"/>
        <w:spacing w:line="249" w:lineRule="auto" w:before="13"/>
        <w:ind w:left="121" w:right="15" w:firstLine="6"/>
      </w:pPr>
      <w:r>
        <w:rPr>
          <w:color w:val="3D3D3D"/>
          <w:w w:val="105"/>
        </w:rPr>
        <w:t>Acting Assistant Secretary Trade and Customs Branch Canberra, ACT</w:t>
      </w:r>
    </w:p>
    <w:p>
      <w:pPr>
        <w:tabs>
          <w:tab w:pos="492" w:val="left" w:leader="none"/>
        </w:tabs>
        <w:spacing w:before="181"/>
        <w:ind w:left="101" w:right="0" w:firstLine="0"/>
        <w:jc w:val="left"/>
        <w:rPr>
          <w:sz w:val="21"/>
        </w:rPr>
      </w:pPr>
      <w:r>
        <w:rPr>
          <w:i/>
          <w:color w:val="595299"/>
          <w:sz w:val="30"/>
        </w:rPr>
        <w:t>2</w:t>
        <w:tab/>
      </w:r>
      <w:r>
        <w:rPr>
          <w:color w:val="3F4D7C"/>
          <w:w w:val="95"/>
          <w:sz w:val="30"/>
        </w:rPr>
        <w:t>\ </w:t>
      </w:r>
      <w:r>
        <w:rPr>
          <w:color w:val="3D3D3D"/>
          <w:sz w:val="21"/>
        </w:rPr>
        <w:t>September</w:t>
      </w:r>
      <w:r>
        <w:rPr>
          <w:color w:val="3D3D3D"/>
          <w:spacing w:val="12"/>
          <w:sz w:val="21"/>
        </w:rPr>
        <w:t> </w:t>
      </w:r>
      <w:r>
        <w:rPr>
          <w:color w:val="3D3D3D"/>
          <w:sz w:val="21"/>
        </w:rPr>
        <w:t>2016</w:t>
      </w:r>
    </w:p>
    <w:p>
      <w:pPr>
        <w:pStyle w:val="BodyText"/>
        <w:spacing w:before="46"/>
        <w:ind w:left="101"/>
      </w:pPr>
      <w:r>
        <w:rPr/>
        <w:br w:type="column"/>
      </w:r>
      <w:r>
        <w:rPr>
          <w:color w:val="3D3D3D"/>
          <w:w w:val="105"/>
        </w:rPr>
        <w:t>Erin Dale</w:t>
      </w:r>
    </w:p>
    <w:p>
      <w:pPr>
        <w:pStyle w:val="BodyText"/>
        <w:spacing w:line="252" w:lineRule="auto" w:before="8"/>
        <w:ind w:left="107" w:right="1466"/>
      </w:pPr>
      <w:r>
        <w:rPr>
          <w:color w:val="3D3D3D"/>
          <w:w w:val="105"/>
        </w:rPr>
        <w:t>Commander Customs</w:t>
      </w:r>
      <w:r>
        <w:rPr>
          <w:color w:val="3D3D3D"/>
          <w:spacing w:val="-46"/>
          <w:w w:val="105"/>
        </w:rPr>
        <w:t> </w:t>
      </w:r>
      <w:r>
        <w:rPr>
          <w:color w:val="3D3D3D"/>
          <w:w w:val="105"/>
        </w:rPr>
        <w:t>Compliance Australian Border Force Canberra,</w:t>
      </w:r>
      <w:r>
        <w:rPr>
          <w:color w:val="3D3D3D"/>
          <w:spacing w:val="18"/>
          <w:w w:val="105"/>
        </w:rPr>
        <w:t> </w:t>
      </w:r>
      <w:r>
        <w:rPr>
          <w:color w:val="3D3D3D"/>
          <w:w w:val="105"/>
        </w:rPr>
        <w:t>ACT</w:t>
      </w:r>
    </w:p>
    <w:sectPr>
      <w:type w:val="continuous"/>
      <w:pgSz w:w="11900" w:h="16840"/>
      <w:pgMar w:top="660" w:bottom="0" w:left="1060" w:right="1020"/>
      <w:cols w:num="2" w:equalWidth="0">
        <w:col w:w="2853" w:space="2057"/>
        <w:col w:w="491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1"/>
      </w:rPr>
    </w:pPr>
    <w:r>
      <w:rPr/>
      <w:pict>
        <v:shapetype id="_x0000_t202" o:spt="202" coordsize="21600,21600" path="m,l,21600r21600,l21600,xe">
          <v:stroke joinstyle="miter"/>
          <v:path gradientshapeok="t" o:connecttype="rect"/>
        </v:shapetype>
        <v:shape style="position:absolute;margin-left:290.480103pt;margin-top:34.223476pt;width:21.45pt;height:16.5pt;mso-position-horizontal-relative:page;mso-position-vertical-relative:page;z-index:-15817216" type="#_x0000_t202" filled="false" stroked="false">
          <v:textbox inset="0,0,0,0">
            <w:txbxContent>
              <w:p>
                <w:pPr>
                  <w:spacing w:before="12"/>
                  <w:ind w:left="20" w:right="0" w:firstLine="0"/>
                  <w:jc w:val="left"/>
                  <w:rPr>
                    <w:rFonts w:ascii="Times New Roman"/>
                    <w:sz w:val="18"/>
                  </w:rPr>
                </w:pPr>
                <w:r>
                  <w:rPr>
                    <w:rFonts w:ascii="Times New Roman"/>
                    <w:color w:val="3D3D3D"/>
                    <w:w w:val="105"/>
                    <w:sz w:val="18"/>
                  </w:rPr>
                  <w:t>- </w:t>
                </w:r>
                <w:r>
                  <w:rPr/>
                  <w:fldChar w:fldCharType="begin"/>
                </w:r>
                <w:r>
                  <w:rPr>
                    <w:rFonts w:ascii="Times New Roman"/>
                    <w:color w:val="3D3D3D"/>
                    <w:w w:val="105"/>
                    <w:sz w:val="18"/>
                  </w:rPr>
                  <w:instrText> PAGE </w:instrText>
                </w:r>
                <w:r>
                  <w:rPr/>
                  <w:fldChar w:fldCharType="separate"/>
                </w:r>
                <w:r>
                  <w:rPr/>
                  <w:t>3</w:t>
                </w:r>
                <w:r>
                  <w:rPr/>
                  <w:fldChar w:fldCharType="end"/>
                </w:r>
                <w:r>
                  <w:rPr>
                    <w:rFonts w:ascii="Times New Roman"/>
                    <w:color w:val="3D3D3D"/>
                    <w:w w:val="105"/>
                    <w:sz w:val="18"/>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68" w:hanging="285"/>
      </w:pPr>
      <w:rPr>
        <w:rFonts w:hint="default"/>
        <w:w w:val="103"/>
        <w:lang w:val="en-US" w:eastAsia="en-US" w:bidi="ar-SA"/>
      </w:rPr>
    </w:lvl>
    <w:lvl w:ilvl="1">
      <w:start w:val="0"/>
      <w:numFmt w:val="bullet"/>
      <w:lvlText w:val="•"/>
      <w:lvlJc w:val="left"/>
      <w:pPr>
        <w:ind w:left="1756" w:hanging="285"/>
      </w:pPr>
      <w:rPr>
        <w:rFonts w:hint="default"/>
        <w:lang w:val="en-US" w:eastAsia="en-US" w:bidi="ar-SA"/>
      </w:rPr>
    </w:lvl>
    <w:lvl w:ilvl="2">
      <w:start w:val="0"/>
      <w:numFmt w:val="bullet"/>
      <w:lvlText w:val="•"/>
      <w:lvlJc w:val="left"/>
      <w:pPr>
        <w:ind w:left="2652" w:hanging="285"/>
      </w:pPr>
      <w:rPr>
        <w:rFonts w:hint="default"/>
        <w:lang w:val="en-US" w:eastAsia="en-US" w:bidi="ar-SA"/>
      </w:rPr>
    </w:lvl>
    <w:lvl w:ilvl="3">
      <w:start w:val="0"/>
      <w:numFmt w:val="bullet"/>
      <w:lvlText w:val="•"/>
      <w:lvlJc w:val="left"/>
      <w:pPr>
        <w:ind w:left="3548" w:hanging="285"/>
      </w:pPr>
      <w:rPr>
        <w:rFonts w:hint="default"/>
        <w:lang w:val="en-US" w:eastAsia="en-US" w:bidi="ar-SA"/>
      </w:rPr>
    </w:lvl>
    <w:lvl w:ilvl="4">
      <w:start w:val="0"/>
      <w:numFmt w:val="bullet"/>
      <w:lvlText w:val="•"/>
      <w:lvlJc w:val="left"/>
      <w:pPr>
        <w:ind w:left="4444" w:hanging="285"/>
      </w:pPr>
      <w:rPr>
        <w:rFonts w:hint="default"/>
        <w:lang w:val="en-US" w:eastAsia="en-US" w:bidi="ar-SA"/>
      </w:rPr>
    </w:lvl>
    <w:lvl w:ilvl="5">
      <w:start w:val="0"/>
      <w:numFmt w:val="bullet"/>
      <w:lvlText w:val="•"/>
      <w:lvlJc w:val="left"/>
      <w:pPr>
        <w:ind w:left="5340" w:hanging="285"/>
      </w:pPr>
      <w:rPr>
        <w:rFonts w:hint="default"/>
        <w:lang w:val="en-US" w:eastAsia="en-US" w:bidi="ar-SA"/>
      </w:rPr>
    </w:lvl>
    <w:lvl w:ilvl="6">
      <w:start w:val="0"/>
      <w:numFmt w:val="bullet"/>
      <w:lvlText w:val="•"/>
      <w:lvlJc w:val="left"/>
      <w:pPr>
        <w:ind w:left="6236" w:hanging="285"/>
      </w:pPr>
      <w:rPr>
        <w:rFonts w:hint="default"/>
        <w:lang w:val="en-US" w:eastAsia="en-US" w:bidi="ar-SA"/>
      </w:rPr>
    </w:lvl>
    <w:lvl w:ilvl="7">
      <w:start w:val="0"/>
      <w:numFmt w:val="bullet"/>
      <w:lvlText w:val="•"/>
      <w:lvlJc w:val="left"/>
      <w:pPr>
        <w:ind w:left="7132" w:hanging="285"/>
      </w:pPr>
      <w:rPr>
        <w:rFonts w:hint="default"/>
        <w:lang w:val="en-US" w:eastAsia="en-US" w:bidi="ar-SA"/>
      </w:rPr>
    </w:lvl>
    <w:lvl w:ilvl="8">
      <w:start w:val="0"/>
      <w:numFmt w:val="bullet"/>
      <w:lvlText w:val="•"/>
      <w:lvlJc w:val="left"/>
      <w:pPr>
        <w:ind w:left="8028" w:hanging="285"/>
      </w:pPr>
      <w:rPr>
        <w:rFonts w:hint="default"/>
        <w:lang w:val="en-US" w:eastAsia="en-US" w:bidi="ar-SA"/>
      </w:rPr>
    </w:lvl>
  </w:abstractNum>
  <w:abstractNum w:abstractNumId="0">
    <w:multiLevelType w:val="hybridMultilevel"/>
    <w:lvl w:ilvl="0">
      <w:start w:val="1"/>
      <w:numFmt w:val="decimal"/>
      <w:lvlText w:val="%1."/>
      <w:lvlJc w:val="left"/>
      <w:pPr>
        <w:ind w:left="542" w:hanging="244"/>
        <w:jc w:val="left"/>
      </w:pPr>
      <w:rPr>
        <w:rFonts w:hint="default" w:ascii="Arial" w:hAnsi="Arial" w:eastAsia="Arial" w:cs="Arial"/>
        <w:color w:val="3B3B3B"/>
        <w:spacing w:val="-1"/>
        <w:w w:val="105"/>
        <w:sz w:val="21"/>
        <w:szCs w:val="21"/>
        <w:lang w:val="en-US" w:eastAsia="en-US" w:bidi="ar-SA"/>
      </w:rPr>
    </w:lvl>
    <w:lvl w:ilvl="1">
      <w:start w:val="1"/>
      <w:numFmt w:val="decimal"/>
      <w:lvlText w:val="%2"/>
      <w:lvlJc w:val="left"/>
      <w:pPr>
        <w:ind w:left="676" w:hanging="115"/>
        <w:jc w:val="left"/>
      </w:pPr>
      <w:rPr>
        <w:rFonts w:hint="default"/>
        <w:w w:val="89"/>
        <w:position w:val="9"/>
        <w:lang w:val="en-US" w:eastAsia="en-US" w:bidi="ar-SA"/>
      </w:rPr>
    </w:lvl>
    <w:lvl w:ilvl="2">
      <w:start w:val="0"/>
      <w:numFmt w:val="bullet"/>
      <w:lvlText w:val="•"/>
      <w:lvlJc w:val="left"/>
      <w:pPr>
        <w:ind w:left="1695" w:hanging="115"/>
      </w:pPr>
      <w:rPr>
        <w:rFonts w:hint="default"/>
        <w:lang w:val="en-US" w:eastAsia="en-US" w:bidi="ar-SA"/>
      </w:rPr>
    </w:lvl>
    <w:lvl w:ilvl="3">
      <w:start w:val="0"/>
      <w:numFmt w:val="bullet"/>
      <w:lvlText w:val="•"/>
      <w:lvlJc w:val="left"/>
      <w:pPr>
        <w:ind w:left="2711" w:hanging="115"/>
      </w:pPr>
      <w:rPr>
        <w:rFonts w:hint="default"/>
        <w:lang w:val="en-US" w:eastAsia="en-US" w:bidi="ar-SA"/>
      </w:rPr>
    </w:lvl>
    <w:lvl w:ilvl="4">
      <w:start w:val="0"/>
      <w:numFmt w:val="bullet"/>
      <w:lvlText w:val="•"/>
      <w:lvlJc w:val="left"/>
      <w:pPr>
        <w:ind w:left="3726" w:hanging="115"/>
      </w:pPr>
      <w:rPr>
        <w:rFonts w:hint="default"/>
        <w:lang w:val="en-US" w:eastAsia="en-US" w:bidi="ar-SA"/>
      </w:rPr>
    </w:lvl>
    <w:lvl w:ilvl="5">
      <w:start w:val="0"/>
      <w:numFmt w:val="bullet"/>
      <w:lvlText w:val="•"/>
      <w:lvlJc w:val="left"/>
      <w:pPr>
        <w:ind w:left="4742" w:hanging="115"/>
      </w:pPr>
      <w:rPr>
        <w:rFonts w:hint="default"/>
        <w:lang w:val="en-US" w:eastAsia="en-US" w:bidi="ar-SA"/>
      </w:rPr>
    </w:lvl>
    <w:lvl w:ilvl="6">
      <w:start w:val="0"/>
      <w:numFmt w:val="bullet"/>
      <w:lvlText w:val="•"/>
      <w:lvlJc w:val="left"/>
      <w:pPr>
        <w:ind w:left="5757" w:hanging="115"/>
      </w:pPr>
      <w:rPr>
        <w:rFonts w:hint="default"/>
        <w:lang w:val="en-US" w:eastAsia="en-US" w:bidi="ar-SA"/>
      </w:rPr>
    </w:lvl>
    <w:lvl w:ilvl="7">
      <w:start w:val="0"/>
      <w:numFmt w:val="bullet"/>
      <w:lvlText w:val="•"/>
      <w:lvlJc w:val="left"/>
      <w:pPr>
        <w:ind w:left="6773" w:hanging="115"/>
      </w:pPr>
      <w:rPr>
        <w:rFonts w:hint="default"/>
        <w:lang w:val="en-US" w:eastAsia="en-US" w:bidi="ar-SA"/>
      </w:rPr>
    </w:lvl>
    <w:lvl w:ilvl="8">
      <w:start w:val="0"/>
      <w:numFmt w:val="bullet"/>
      <w:lvlText w:val="•"/>
      <w:lvlJc w:val="left"/>
      <w:pPr>
        <w:ind w:left="7788" w:hanging="11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1"/>
      <w:szCs w:val="21"/>
      <w:lang w:val="en-US" w:eastAsia="en-US" w:bidi="ar-SA"/>
    </w:rPr>
  </w:style>
  <w:style w:styleId="Heading1" w:type="paragraph">
    <w:name w:val="Heading 1"/>
    <w:basedOn w:val="Normal"/>
    <w:uiPriority w:val="1"/>
    <w:qFormat/>
    <w:pPr>
      <w:ind w:left="551"/>
      <w:outlineLvl w:val="1"/>
    </w:pPr>
    <w:rPr>
      <w:rFonts w:ascii="Arial" w:hAnsi="Arial" w:eastAsia="Arial" w:cs="Arial"/>
      <w:b/>
      <w:bCs/>
      <w:sz w:val="21"/>
      <w:szCs w:val="21"/>
      <w:lang w:val="en-US" w:eastAsia="en-US" w:bidi="ar-SA"/>
    </w:rPr>
  </w:style>
  <w:style w:styleId="ListParagraph" w:type="paragraph">
    <w:name w:val="List Paragraph"/>
    <w:basedOn w:val="Normal"/>
    <w:uiPriority w:val="1"/>
    <w:qFormat/>
    <w:pPr>
      <w:ind w:left="871" w:hanging="277"/>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yperlink" Target="mailto:cargosupport@border.gov.au" TargetMode="Externa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DIBP</dc:creator>
  <cp:keywords>notice, customs, valuation</cp:keywords>
  <dc:subject>DIBP notice</dc:subject>
  <dc:title>DIBP notice 2016/33 - Declaring overseas freight and insurance for customs valuation and value of the taxable importation purposes</dc:title>
  <dcterms:created xsi:type="dcterms:W3CDTF">2020-12-09T22:33:05Z</dcterms:created>
  <dcterms:modified xsi:type="dcterms:W3CDTF">2020-12-09T22:33:05Z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2016-09-21T00:00:00Z</vt:filetime>
  </property>
  <property fmtid="{D5CDD505-2E9C-101B-9397-08002B2CF9AE}" pid="3" name="Creator">
    <vt:lpwstr>OmniPage CSDK 18</vt:lpwstr>
  </property>
  <property fmtid="{D5CDD505-2E9C-101B-9397-08002B2CF9AE}" pid="4" name="LastSaved">
    <vt:filetime>2020-12-09T00:00:00Z</vt:filetime>
  </property>
</Properties>
</file>