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7"/>
        </w:rPr>
      </w:pPr>
    </w:p>
    <w:p>
      <w:pPr>
        <w:pStyle w:val="Title"/>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Australian Government Department of Immigration and Border Protection"/>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pStyle w:val="Title"/>
        <w:spacing w:before="201"/>
        <w:ind w:left="3377" w:right="2931"/>
        <w:jc w:val="cente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t>No. 2016/37</w:t>
      </w:r>
    </w:p>
    <w:p>
      <w:pPr>
        <w:pStyle w:val="BodyText"/>
        <w:rPr>
          <w:b/>
          <w:sz w:val="13"/>
        </w:rPr>
      </w:pPr>
    </w:p>
    <w:p>
      <w:pPr>
        <w:spacing w:before="91"/>
        <w:ind w:left="3377" w:right="3377" w:firstLine="0"/>
        <w:jc w:val="center"/>
        <w:rPr>
          <w:b/>
          <w:sz w:val="26"/>
        </w:rPr>
      </w:pPr>
      <w:r>
        <w:rPr>
          <w:b/>
          <w:sz w:val="26"/>
        </w:rPr>
        <w:t>Applications for Customs Broker Licence</w:t>
      </w:r>
    </w:p>
    <w:p>
      <w:pPr>
        <w:pStyle w:val="BodyText"/>
        <w:spacing w:before="9"/>
        <w:rPr>
          <w:b/>
          <w:sz w:val="24"/>
        </w:rPr>
      </w:pPr>
    </w:p>
    <w:p>
      <w:pPr>
        <w:pStyle w:val="BodyText"/>
        <w:ind w:left="720"/>
      </w:pPr>
      <w:r>
        <w:rPr/>
        <w:t>The following individuals and companies have applied to the Comptroller-General of Customs for a customs broker licence.</w:t>
      </w:r>
    </w:p>
    <w:p>
      <w:pPr>
        <w:pStyle w:val="BodyText"/>
        <w:spacing w:before="4" w:after="1"/>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0"/>
        <w:gridCol w:w="2931"/>
        <w:gridCol w:w="1113"/>
        <w:gridCol w:w="3249"/>
      </w:tblGrid>
      <w:tr>
        <w:trPr>
          <w:trHeight w:val="217" w:hRule="atLeast"/>
        </w:trPr>
        <w:tc>
          <w:tcPr>
            <w:tcW w:w="2530" w:type="dxa"/>
          </w:tcPr>
          <w:p>
            <w:pPr>
              <w:pStyle w:val="TableParagraph"/>
              <w:spacing w:line="198" w:lineRule="exact"/>
              <w:ind w:left="50"/>
              <w:rPr>
                <w:b/>
                <w:sz w:val="19"/>
              </w:rPr>
            </w:pPr>
            <w:r>
              <w:rPr>
                <w:b/>
                <w:sz w:val="19"/>
                <w:u w:val="single"/>
              </w:rPr>
              <w:t>INDIVIDUALS</w:t>
            </w:r>
          </w:p>
        </w:tc>
        <w:tc>
          <w:tcPr>
            <w:tcW w:w="2931" w:type="dxa"/>
          </w:tcPr>
          <w:p>
            <w:pPr>
              <w:pStyle w:val="TableParagraph"/>
              <w:spacing w:line="198" w:lineRule="exact"/>
              <w:ind w:left="1107"/>
              <w:rPr>
                <w:b/>
                <w:sz w:val="19"/>
              </w:rPr>
            </w:pPr>
            <w:r>
              <w:rPr>
                <w:b/>
                <w:sz w:val="19"/>
                <w:u w:val="single"/>
              </w:rPr>
              <w:t>COMPANY</w:t>
            </w:r>
          </w:p>
        </w:tc>
        <w:tc>
          <w:tcPr>
            <w:tcW w:w="1113" w:type="dxa"/>
          </w:tcPr>
          <w:p>
            <w:pPr>
              <w:pStyle w:val="TableParagraph"/>
              <w:ind w:left="0"/>
              <w:rPr>
                <w:rFonts w:ascii="Times New Roman"/>
                <w:sz w:val="14"/>
              </w:rPr>
            </w:pPr>
          </w:p>
        </w:tc>
        <w:tc>
          <w:tcPr>
            <w:tcW w:w="3249" w:type="dxa"/>
          </w:tcPr>
          <w:p>
            <w:pPr>
              <w:pStyle w:val="TableParagraph"/>
              <w:spacing w:line="198" w:lineRule="exact"/>
              <w:ind w:left="519"/>
              <w:rPr>
                <w:b/>
                <w:sz w:val="19"/>
              </w:rPr>
            </w:pPr>
            <w:r>
              <w:rPr>
                <w:b/>
                <w:sz w:val="19"/>
                <w:u w:val="single"/>
              </w:rPr>
              <w:t>COMPANY</w:t>
            </w:r>
          </w:p>
        </w:tc>
      </w:tr>
      <w:tr>
        <w:trPr>
          <w:trHeight w:val="437" w:hRule="atLeast"/>
        </w:trPr>
        <w:tc>
          <w:tcPr>
            <w:tcW w:w="2530" w:type="dxa"/>
          </w:tcPr>
          <w:p>
            <w:pPr>
              <w:pStyle w:val="TableParagraph"/>
              <w:spacing w:line="216" w:lineRule="exact" w:before="4"/>
              <w:ind w:left="50" w:right="1055"/>
              <w:rPr>
                <w:sz w:val="19"/>
              </w:rPr>
            </w:pPr>
            <w:r>
              <w:rPr>
                <w:sz w:val="19"/>
              </w:rPr>
              <w:t>Scott Busuttil Joshua Loney</w:t>
            </w:r>
          </w:p>
        </w:tc>
        <w:tc>
          <w:tcPr>
            <w:tcW w:w="2931" w:type="dxa"/>
          </w:tcPr>
          <w:p>
            <w:pPr>
              <w:pStyle w:val="TableParagraph"/>
              <w:spacing w:line="216" w:lineRule="exact" w:before="4"/>
              <w:ind w:left="1072" w:right="9" w:firstLine="34"/>
              <w:rPr>
                <w:sz w:val="19"/>
              </w:rPr>
            </w:pPr>
            <w:r>
              <w:rPr>
                <w:sz w:val="19"/>
              </w:rPr>
              <w:t>Pure Global Logistics ABN 86 603 815 014</w:t>
            </w:r>
          </w:p>
        </w:tc>
        <w:tc>
          <w:tcPr>
            <w:tcW w:w="1113" w:type="dxa"/>
          </w:tcPr>
          <w:p>
            <w:pPr>
              <w:pStyle w:val="TableParagraph"/>
              <w:spacing w:line="217" w:lineRule="exact"/>
              <w:ind w:left="24"/>
              <w:rPr>
                <w:sz w:val="19"/>
              </w:rPr>
            </w:pPr>
            <w:r>
              <w:rPr>
                <w:sz w:val="19"/>
              </w:rPr>
              <w:t>Pty Ltd</w:t>
            </w:r>
          </w:p>
        </w:tc>
        <w:tc>
          <w:tcPr>
            <w:tcW w:w="3249" w:type="dxa"/>
          </w:tcPr>
          <w:p>
            <w:pPr>
              <w:pStyle w:val="TableParagraph"/>
              <w:spacing w:line="216" w:lineRule="exact" w:before="4"/>
              <w:ind w:left="524" w:right="33"/>
              <w:rPr>
                <w:sz w:val="19"/>
              </w:rPr>
            </w:pPr>
            <w:r>
              <w:rPr>
                <w:sz w:val="19"/>
              </w:rPr>
              <w:t>Sage Logistics Australia Pty Ltd ABN 11 612 045 977</w:t>
            </w:r>
          </w:p>
        </w:tc>
      </w:tr>
      <w:tr>
        <w:trPr>
          <w:trHeight w:val="437" w:hRule="atLeast"/>
        </w:trPr>
        <w:tc>
          <w:tcPr>
            <w:tcW w:w="2530" w:type="dxa"/>
          </w:tcPr>
          <w:p>
            <w:pPr>
              <w:pStyle w:val="TableParagraph"/>
              <w:spacing w:line="216" w:lineRule="exact" w:before="4"/>
              <w:ind w:left="50" w:right="1055"/>
              <w:rPr>
                <w:sz w:val="19"/>
              </w:rPr>
            </w:pPr>
            <w:r>
              <w:rPr>
                <w:sz w:val="19"/>
              </w:rPr>
              <w:t>Phuong Hoang Peter Dart</w:t>
            </w:r>
          </w:p>
        </w:tc>
        <w:tc>
          <w:tcPr>
            <w:tcW w:w="2931" w:type="dxa"/>
          </w:tcPr>
          <w:p>
            <w:pPr>
              <w:pStyle w:val="TableParagraph"/>
              <w:spacing w:line="216" w:lineRule="exact" w:before="4"/>
              <w:ind w:left="1097"/>
              <w:rPr>
                <w:sz w:val="19"/>
              </w:rPr>
            </w:pPr>
            <w:r>
              <w:rPr>
                <w:sz w:val="19"/>
              </w:rPr>
              <w:t>7 Yorkshire Street PASCOE VALE VIC</w:t>
            </w:r>
          </w:p>
        </w:tc>
        <w:tc>
          <w:tcPr>
            <w:tcW w:w="1113" w:type="dxa"/>
          </w:tcPr>
          <w:p>
            <w:pPr>
              <w:pStyle w:val="TableParagraph"/>
              <w:spacing w:before="8"/>
              <w:ind w:left="0"/>
              <w:rPr>
                <w:sz w:val="18"/>
              </w:rPr>
            </w:pPr>
          </w:p>
          <w:p>
            <w:pPr>
              <w:pStyle w:val="TableParagraph"/>
              <w:spacing w:line="202" w:lineRule="exact"/>
              <w:ind w:left="24"/>
              <w:rPr>
                <w:sz w:val="19"/>
              </w:rPr>
            </w:pPr>
            <w:r>
              <w:rPr>
                <w:sz w:val="19"/>
              </w:rPr>
              <w:t>3044</w:t>
            </w:r>
          </w:p>
        </w:tc>
        <w:tc>
          <w:tcPr>
            <w:tcW w:w="3249" w:type="dxa"/>
          </w:tcPr>
          <w:p>
            <w:pPr>
              <w:pStyle w:val="TableParagraph"/>
              <w:spacing w:line="216" w:lineRule="exact"/>
              <w:ind w:left="495"/>
              <w:rPr>
                <w:sz w:val="19"/>
              </w:rPr>
            </w:pPr>
            <w:r>
              <w:rPr>
                <w:sz w:val="19"/>
              </w:rPr>
              <w:t>40 Bass Road</w:t>
            </w:r>
          </w:p>
          <w:p>
            <w:pPr>
              <w:pStyle w:val="TableParagraph"/>
              <w:spacing w:line="201" w:lineRule="exact"/>
              <w:ind w:left="519"/>
              <w:rPr>
                <w:sz w:val="19"/>
              </w:rPr>
            </w:pPr>
            <w:r>
              <w:rPr>
                <w:sz w:val="19"/>
              </w:rPr>
              <w:t>BULL CREEK WA 6149</w:t>
            </w:r>
          </w:p>
        </w:tc>
      </w:tr>
      <w:tr>
        <w:trPr>
          <w:trHeight w:val="436" w:hRule="atLeast"/>
        </w:trPr>
        <w:tc>
          <w:tcPr>
            <w:tcW w:w="2530" w:type="dxa"/>
          </w:tcPr>
          <w:p>
            <w:pPr>
              <w:pStyle w:val="TableParagraph"/>
              <w:spacing w:line="216" w:lineRule="exact" w:before="4"/>
              <w:ind w:left="50" w:right="1055"/>
              <w:rPr>
                <w:sz w:val="19"/>
              </w:rPr>
            </w:pPr>
            <w:r>
              <w:rPr>
                <w:sz w:val="19"/>
              </w:rPr>
              <w:t>Juan Xue Matthew O’Brien</w:t>
            </w:r>
          </w:p>
        </w:tc>
        <w:tc>
          <w:tcPr>
            <w:tcW w:w="2931" w:type="dxa"/>
          </w:tcPr>
          <w:p>
            <w:pPr>
              <w:pStyle w:val="TableParagraph"/>
              <w:spacing w:before="7"/>
              <w:ind w:left="0"/>
              <w:rPr>
                <w:sz w:val="18"/>
              </w:rPr>
            </w:pPr>
          </w:p>
          <w:p>
            <w:pPr>
              <w:pStyle w:val="TableParagraph"/>
              <w:spacing w:line="202" w:lineRule="exact"/>
              <w:ind w:left="1087"/>
              <w:rPr>
                <w:b/>
                <w:sz w:val="19"/>
              </w:rPr>
            </w:pPr>
            <w:r>
              <w:rPr>
                <w:b/>
                <w:sz w:val="19"/>
                <w:u w:val="single"/>
              </w:rPr>
              <w:t>Person in Authority</w:t>
            </w:r>
          </w:p>
        </w:tc>
        <w:tc>
          <w:tcPr>
            <w:tcW w:w="1113" w:type="dxa"/>
          </w:tcPr>
          <w:p>
            <w:pPr>
              <w:pStyle w:val="TableParagraph"/>
              <w:ind w:left="0"/>
              <w:rPr>
                <w:rFonts w:ascii="Times New Roman"/>
                <w:sz w:val="18"/>
              </w:rPr>
            </w:pPr>
          </w:p>
        </w:tc>
        <w:tc>
          <w:tcPr>
            <w:tcW w:w="3249" w:type="dxa"/>
          </w:tcPr>
          <w:p>
            <w:pPr>
              <w:pStyle w:val="TableParagraph"/>
              <w:spacing w:before="7"/>
              <w:ind w:left="0"/>
              <w:rPr>
                <w:sz w:val="18"/>
              </w:rPr>
            </w:pPr>
          </w:p>
          <w:p>
            <w:pPr>
              <w:pStyle w:val="TableParagraph"/>
              <w:spacing w:line="202" w:lineRule="exact"/>
              <w:ind w:left="524"/>
              <w:rPr>
                <w:b/>
                <w:sz w:val="19"/>
              </w:rPr>
            </w:pPr>
            <w:r>
              <w:rPr>
                <w:b/>
                <w:sz w:val="19"/>
                <w:u w:val="single"/>
              </w:rPr>
              <w:t>Person in Authority</w:t>
            </w:r>
          </w:p>
        </w:tc>
      </w:tr>
      <w:tr>
        <w:trPr>
          <w:trHeight w:val="328" w:hRule="atLeast"/>
        </w:trPr>
        <w:tc>
          <w:tcPr>
            <w:tcW w:w="2530" w:type="dxa"/>
          </w:tcPr>
          <w:p>
            <w:pPr>
              <w:pStyle w:val="TableParagraph"/>
              <w:ind w:left="0"/>
              <w:rPr>
                <w:rFonts w:ascii="Times New Roman"/>
                <w:sz w:val="18"/>
              </w:rPr>
            </w:pPr>
          </w:p>
        </w:tc>
        <w:tc>
          <w:tcPr>
            <w:tcW w:w="2931" w:type="dxa"/>
          </w:tcPr>
          <w:p>
            <w:pPr>
              <w:pStyle w:val="TableParagraph"/>
              <w:spacing w:line="217" w:lineRule="exact"/>
              <w:ind w:left="1092"/>
              <w:rPr>
                <w:sz w:val="19"/>
              </w:rPr>
            </w:pPr>
            <w:r>
              <w:rPr>
                <w:sz w:val="19"/>
              </w:rPr>
              <w:t>Bruce Dowling</w:t>
            </w:r>
          </w:p>
        </w:tc>
        <w:tc>
          <w:tcPr>
            <w:tcW w:w="1113" w:type="dxa"/>
          </w:tcPr>
          <w:p>
            <w:pPr>
              <w:pStyle w:val="TableParagraph"/>
              <w:ind w:left="0"/>
              <w:rPr>
                <w:rFonts w:ascii="Times New Roman"/>
                <w:sz w:val="18"/>
              </w:rPr>
            </w:pPr>
          </w:p>
        </w:tc>
        <w:tc>
          <w:tcPr>
            <w:tcW w:w="3249" w:type="dxa"/>
          </w:tcPr>
          <w:p>
            <w:pPr>
              <w:pStyle w:val="TableParagraph"/>
              <w:spacing w:line="217" w:lineRule="exact"/>
              <w:ind w:left="500"/>
              <w:rPr>
                <w:sz w:val="19"/>
              </w:rPr>
            </w:pPr>
            <w:r>
              <w:rPr>
                <w:sz w:val="19"/>
              </w:rPr>
              <w:t>Wayne Langborne</w:t>
            </w:r>
          </w:p>
        </w:tc>
      </w:tr>
      <w:tr>
        <w:trPr>
          <w:trHeight w:val="542" w:hRule="atLeast"/>
        </w:trPr>
        <w:tc>
          <w:tcPr>
            <w:tcW w:w="2530" w:type="dxa"/>
          </w:tcPr>
          <w:p>
            <w:pPr>
              <w:pStyle w:val="TableParagraph"/>
              <w:ind w:left="0"/>
              <w:rPr>
                <w:rFonts w:ascii="Times New Roman"/>
                <w:sz w:val="18"/>
              </w:rPr>
            </w:pPr>
          </w:p>
        </w:tc>
        <w:tc>
          <w:tcPr>
            <w:tcW w:w="2931" w:type="dxa"/>
          </w:tcPr>
          <w:p>
            <w:pPr>
              <w:pStyle w:val="TableParagraph"/>
              <w:spacing w:line="217" w:lineRule="exact" w:before="106"/>
              <w:ind w:left="1111"/>
              <w:rPr>
                <w:b/>
                <w:sz w:val="19"/>
              </w:rPr>
            </w:pPr>
            <w:r>
              <w:rPr>
                <w:b/>
                <w:sz w:val="19"/>
                <w:u w:val="single"/>
              </w:rPr>
              <w:t>Nominee Broker</w:t>
            </w:r>
          </w:p>
          <w:p>
            <w:pPr>
              <w:pStyle w:val="TableParagraph"/>
              <w:spacing w:line="198" w:lineRule="exact"/>
              <w:ind w:left="1111"/>
              <w:rPr>
                <w:sz w:val="19"/>
              </w:rPr>
            </w:pPr>
            <w:r>
              <w:rPr>
                <w:sz w:val="19"/>
              </w:rPr>
              <w:t>Harold Kaindl</w:t>
            </w:r>
          </w:p>
        </w:tc>
        <w:tc>
          <w:tcPr>
            <w:tcW w:w="1113" w:type="dxa"/>
          </w:tcPr>
          <w:p>
            <w:pPr>
              <w:pStyle w:val="TableParagraph"/>
              <w:ind w:left="0"/>
              <w:rPr>
                <w:rFonts w:ascii="Times New Roman"/>
                <w:sz w:val="18"/>
              </w:rPr>
            </w:pPr>
          </w:p>
        </w:tc>
        <w:tc>
          <w:tcPr>
            <w:tcW w:w="3249" w:type="dxa"/>
          </w:tcPr>
          <w:p>
            <w:pPr>
              <w:pStyle w:val="TableParagraph"/>
              <w:spacing w:line="217" w:lineRule="exact" w:before="106"/>
              <w:ind w:left="543"/>
              <w:rPr>
                <w:b/>
                <w:sz w:val="19"/>
              </w:rPr>
            </w:pPr>
            <w:r>
              <w:rPr>
                <w:b/>
                <w:sz w:val="19"/>
                <w:u w:val="single"/>
              </w:rPr>
              <w:t>Nominee Broker</w:t>
            </w:r>
          </w:p>
          <w:p>
            <w:pPr>
              <w:pStyle w:val="TableParagraph"/>
              <w:spacing w:line="198" w:lineRule="exact"/>
              <w:ind w:left="524"/>
              <w:rPr>
                <w:sz w:val="19"/>
              </w:rPr>
            </w:pPr>
            <w:r>
              <w:rPr>
                <w:sz w:val="19"/>
              </w:rPr>
              <w:t>Wayne Langborne</w:t>
            </w:r>
          </w:p>
        </w:tc>
      </w:tr>
    </w:tbl>
    <w:p>
      <w:pPr>
        <w:pStyle w:val="BodyText"/>
        <w:spacing w:before="3" w:after="1"/>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84"/>
      </w:tblGrid>
      <w:tr>
        <w:trPr>
          <w:trHeight w:val="2294" w:hRule="atLeast"/>
        </w:trPr>
        <w:tc>
          <w:tcPr>
            <w:tcW w:w="8084" w:type="dxa"/>
          </w:tcPr>
          <w:p>
            <w:pPr>
              <w:pStyle w:val="TableParagraph"/>
              <w:tabs>
                <w:tab w:pos="3811" w:val="left" w:leader="none"/>
              </w:tabs>
              <w:spacing w:line="214" w:lineRule="exact"/>
              <w:rPr>
                <w:b/>
                <w:sz w:val="19"/>
              </w:rPr>
            </w:pPr>
            <w:r>
              <w:rPr>
                <w:b/>
                <w:sz w:val="19"/>
                <w:u w:val="single"/>
              </w:rPr>
              <w:t>COMPANY</w:t>
            </w:r>
            <w:r>
              <w:rPr>
                <w:b/>
                <w:sz w:val="19"/>
              </w:rPr>
              <w:tab/>
            </w:r>
            <w:r>
              <w:rPr>
                <w:b/>
                <w:sz w:val="19"/>
                <w:u w:val="single"/>
              </w:rPr>
              <w:t>COMPANY</w:t>
            </w:r>
          </w:p>
          <w:p>
            <w:pPr>
              <w:pStyle w:val="TableParagraph"/>
              <w:tabs>
                <w:tab w:pos="3811" w:val="left" w:leader="none"/>
              </w:tabs>
              <w:spacing w:line="237" w:lineRule="auto" w:before="4"/>
              <w:ind w:right="198"/>
              <w:rPr>
                <w:sz w:val="19"/>
              </w:rPr>
            </w:pPr>
            <w:r>
              <w:rPr>
                <w:sz w:val="19"/>
              </w:rPr>
              <w:t>CMX </w:t>
            </w:r>
            <w:r>
              <w:rPr>
                <w:spacing w:val="-3"/>
                <w:sz w:val="19"/>
              </w:rPr>
              <w:t>Global </w:t>
            </w:r>
            <w:r>
              <w:rPr>
                <w:sz w:val="19"/>
              </w:rPr>
              <w:t>Logistics</w:t>
            </w:r>
            <w:r>
              <w:rPr>
                <w:spacing w:val="2"/>
                <w:sz w:val="19"/>
              </w:rPr>
              <w:t> </w:t>
            </w:r>
            <w:r>
              <w:rPr>
                <w:sz w:val="19"/>
              </w:rPr>
              <w:t>Pty</w:t>
            </w:r>
            <w:r>
              <w:rPr>
                <w:spacing w:val="1"/>
                <w:sz w:val="19"/>
              </w:rPr>
              <w:t> </w:t>
            </w:r>
            <w:r>
              <w:rPr>
                <w:sz w:val="19"/>
              </w:rPr>
              <w:t>Ltd</w:t>
              <w:tab/>
              <w:t>Independent Customs Services Australia Pty</w:t>
            </w:r>
            <w:r>
              <w:rPr>
                <w:spacing w:val="-26"/>
                <w:sz w:val="19"/>
              </w:rPr>
              <w:t> </w:t>
            </w:r>
            <w:r>
              <w:rPr>
                <w:sz w:val="19"/>
              </w:rPr>
              <w:t>Ltd ABN 42 133</w:t>
            </w:r>
            <w:r>
              <w:rPr>
                <w:spacing w:val="-3"/>
                <w:sz w:val="19"/>
              </w:rPr>
              <w:t> </w:t>
            </w:r>
            <w:r>
              <w:rPr>
                <w:sz w:val="19"/>
              </w:rPr>
              <w:t>244</w:t>
            </w:r>
            <w:r>
              <w:rPr>
                <w:spacing w:val="-1"/>
                <w:sz w:val="19"/>
              </w:rPr>
              <w:t> </w:t>
            </w:r>
            <w:r>
              <w:rPr>
                <w:sz w:val="19"/>
              </w:rPr>
              <w:t>943</w:t>
              <w:tab/>
              <w:t>ABN 50 611 375</w:t>
            </w:r>
            <w:r>
              <w:rPr>
                <w:spacing w:val="-3"/>
                <w:sz w:val="19"/>
              </w:rPr>
              <w:t> </w:t>
            </w:r>
            <w:r>
              <w:rPr>
                <w:sz w:val="19"/>
              </w:rPr>
              <w:t>403</w:t>
            </w:r>
          </w:p>
          <w:p>
            <w:pPr>
              <w:pStyle w:val="TableParagraph"/>
              <w:tabs>
                <w:tab w:pos="3811" w:val="left" w:leader="none"/>
              </w:tabs>
              <w:spacing w:line="217" w:lineRule="exact" w:before="2"/>
              <w:rPr>
                <w:sz w:val="19"/>
              </w:rPr>
            </w:pPr>
            <w:r>
              <w:rPr>
                <w:sz w:val="19"/>
              </w:rPr>
              <w:t>Building</w:t>
            </w:r>
            <w:r>
              <w:rPr>
                <w:spacing w:val="-3"/>
                <w:sz w:val="19"/>
              </w:rPr>
              <w:t> </w:t>
            </w:r>
            <w:r>
              <w:rPr>
                <w:sz w:val="19"/>
              </w:rPr>
              <w:t>1</w:t>
              <w:tab/>
            </w:r>
            <w:r>
              <w:rPr>
                <w:spacing w:val="-3"/>
                <w:sz w:val="19"/>
              </w:rPr>
              <w:t>Unit</w:t>
            </w:r>
            <w:r>
              <w:rPr>
                <w:spacing w:val="-1"/>
                <w:sz w:val="19"/>
              </w:rPr>
              <w:t> </w:t>
            </w:r>
            <w:r>
              <w:rPr>
                <w:sz w:val="19"/>
              </w:rPr>
              <w:t>7,</w:t>
            </w:r>
          </w:p>
          <w:p>
            <w:pPr>
              <w:pStyle w:val="TableParagraph"/>
              <w:tabs>
                <w:tab w:pos="3811" w:val="left" w:leader="none"/>
              </w:tabs>
              <w:spacing w:line="217" w:lineRule="exact"/>
              <w:rPr>
                <w:sz w:val="19"/>
              </w:rPr>
            </w:pPr>
            <w:r>
              <w:rPr>
                <w:sz w:val="19"/>
              </w:rPr>
              <w:t>747</w:t>
            </w:r>
            <w:r>
              <w:rPr>
                <w:spacing w:val="-3"/>
                <w:sz w:val="19"/>
              </w:rPr>
              <w:t> </w:t>
            </w:r>
            <w:r>
              <w:rPr>
                <w:sz w:val="19"/>
              </w:rPr>
              <w:t>Lytton</w:t>
            </w:r>
            <w:r>
              <w:rPr>
                <w:spacing w:val="-6"/>
                <w:sz w:val="19"/>
              </w:rPr>
              <w:t> </w:t>
            </w:r>
            <w:r>
              <w:rPr>
                <w:sz w:val="19"/>
              </w:rPr>
              <w:t>Road</w:t>
              <w:tab/>
              <w:t>22 Phillips</w:t>
            </w:r>
            <w:r>
              <w:rPr>
                <w:spacing w:val="-6"/>
                <w:sz w:val="19"/>
              </w:rPr>
              <w:t> </w:t>
            </w:r>
            <w:r>
              <w:rPr>
                <w:sz w:val="19"/>
              </w:rPr>
              <w:t>Road</w:t>
            </w:r>
          </w:p>
          <w:p>
            <w:pPr>
              <w:pStyle w:val="TableParagraph"/>
              <w:tabs>
                <w:tab w:pos="3815" w:val="left" w:leader="none"/>
              </w:tabs>
              <w:spacing w:before="3"/>
              <w:rPr>
                <w:sz w:val="19"/>
              </w:rPr>
            </w:pPr>
            <w:r>
              <w:rPr>
                <w:sz w:val="19"/>
              </w:rPr>
              <w:t>MURARRIE </w:t>
            </w:r>
            <w:r>
              <w:rPr>
                <w:spacing w:val="2"/>
                <w:sz w:val="19"/>
              </w:rPr>
              <w:t> </w:t>
            </w:r>
            <w:r>
              <w:rPr>
                <w:spacing w:val="-3"/>
                <w:sz w:val="19"/>
              </w:rPr>
              <w:t>QLD </w:t>
            </w:r>
            <w:r>
              <w:rPr>
                <w:spacing w:val="3"/>
                <w:sz w:val="19"/>
              </w:rPr>
              <w:t> </w:t>
            </w:r>
            <w:r>
              <w:rPr>
                <w:sz w:val="19"/>
              </w:rPr>
              <w:t>4172</w:t>
              <w:tab/>
              <w:t>KOGARAH </w:t>
            </w:r>
            <w:r>
              <w:rPr>
                <w:spacing w:val="-3"/>
                <w:sz w:val="19"/>
              </w:rPr>
              <w:t>NSW</w:t>
            </w:r>
            <w:r>
              <w:rPr>
                <w:spacing w:val="6"/>
                <w:sz w:val="19"/>
              </w:rPr>
              <w:t> </w:t>
            </w:r>
            <w:r>
              <w:rPr>
                <w:sz w:val="19"/>
              </w:rPr>
              <w:t>2217</w:t>
            </w:r>
          </w:p>
          <w:p>
            <w:pPr>
              <w:pStyle w:val="TableParagraph"/>
              <w:ind w:left="0"/>
              <w:rPr>
                <w:sz w:val="19"/>
              </w:rPr>
            </w:pPr>
          </w:p>
          <w:p>
            <w:pPr>
              <w:pStyle w:val="TableParagraph"/>
              <w:tabs>
                <w:tab w:pos="3811" w:val="left" w:leader="none"/>
              </w:tabs>
              <w:spacing w:line="217" w:lineRule="exact"/>
              <w:rPr>
                <w:b/>
                <w:sz w:val="19"/>
              </w:rPr>
            </w:pPr>
            <w:r>
              <w:rPr>
                <w:b/>
                <w:sz w:val="19"/>
                <w:u w:val="single"/>
              </w:rPr>
              <w:t>Persons</w:t>
            </w:r>
            <w:r>
              <w:rPr>
                <w:b/>
                <w:spacing w:val="-4"/>
                <w:sz w:val="19"/>
                <w:u w:val="single"/>
              </w:rPr>
              <w:t> </w:t>
            </w:r>
            <w:r>
              <w:rPr>
                <w:b/>
                <w:sz w:val="19"/>
                <w:u w:val="single"/>
              </w:rPr>
              <w:t>in</w:t>
            </w:r>
            <w:r>
              <w:rPr>
                <w:b/>
                <w:spacing w:val="-5"/>
                <w:sz w:val="19"/>
                <w:u w:val="single"/>
              </w:rPr>
              <w:t> </w:t>
            </w:r>
            <w:r>
              <w:rPr>
                <w:b/>
                <w:sz w:val="19"/>
                <w:u w:val="single"/>
              </w:rPr>
              <w:t>Authority</w:t>
            </w:r>
            <w:r>
              <w:rPr>
                <w:b/>
                <w:sz w:val="19"/>
              </w:rPr>
              <w:tab/>
            </w:r>
            <w:r>
              <w:rPr>
                <w:b/>
                <w:sz w:val="19"/>
                <w:u w:val="single"/>
              </w:rPr>
              <w:t>Person in</w:t>
            </w:r>
            <w:r>
              <w:rPr>
                <w:b/>
                <w:spacing w:val="-10"/>
                <w:sz w:val="19"/>
                <w:u w:val="single"/>
              </w:rPr>
              <w:t> </w:t>
            </w:r>
            <w:r>
              <w:rPr>
                <w:b/>
                <w:sz w:val="19"/>
                <w:u w:val="single"/>
              </w:rPr>
              <w:t>Authority</w:t>
            </w:r>
          </w:p>
          <w:p>
            <w:pPr>
              <w:pStyle w:val="TableParagraph"/>
              <w:tabs>
                <w:tab w:pos="3787" w:val="left" w:leader="none"/>
              </w:tabs>
              <w:spacing w:line="217" w:lineRule="exact"/>
              <w:rPr>
                <w:sz w:val="19"/>
              </w:rPr>
            </w:pPr>
            <w:r>
              <w:rPr>
                <w:spacing w:val="-3"/>
                <w:sz w:val="19"/>
              </w:rPr>
              <w:t>Grant</w:t>
            </w:r>
            <w:r>
              <w:rPr>
                <w:spacing w:val="2"/>
                <w:sz w:val="19"/>
              </w:rPr>
              <w:t> </w:t>
            </w:r>
            <w:r>
              <w:rPr>
                <w:sz w:val="19"/>
              </w:rPr>
              <w:t>Seeley</w:t>
              <w:tab/>
              <w:t>Zoran</w:t>
            </w:r>
            <w:r>
              <w:rPr>
                <w:spacing w:val="-2"/>
                <w:sz w:val="19"/>
              </w:rPr>
              <w:t> </w:t>
            </w:r>
            <w:r>
              <w:rPr>
                <w:sz w:val="19"/>
              </w:rPr>
              <w:t>Ilic</w:t>
            </w:r>
          </w:p>
          <w:p>
            <w:pPr>
              <w:pStyle w:val="TableParagraph"/>
              <w:spacing w:before="2"/>
              <w:ind w:left="3791"/>
              <w:rPr>
                <w:sz w:val="19"/>
              </w:rPr>
            </w:pPr>
            <w:r>
              <w:rPr>
                <w:sz w:val="19"/>
              </w:rPr>
              <w:t>Robert Wendt</w:t>
            </w:r>
          </w:p>
        </w:tc>
      </w:tr>
      <w:tr>
        <w:trPr>
          <w:trHeight w:val="541" w:hRule="atLeast"/>
        </w:trPr>
        <w:tc>
          <w:tcPr>
            <w:tcW w:w="8084" w:type="dxa"/>
          </w:tcPr>
          <w:p>
            <w:pPr>
              <w:pStyle w:val="TableParagraph"/>
              <w:tabs>
                <w:tab w:pos="3811" w:val="left" w:leader="none"/>
              </w:tabs>
              <w:spacing w:line="217" w:lineRule="exact" w:before="106"/>
              <w:rPr>
                <w:b/>
                <w:sz w:val="19"/>
              </w:rPr>
            </w:pPr>
            <w:r>
              <w:rPr>
                <w:b/>
                <w:sz w:val="19"/>
                <w:u w:val="single"/>
              </w:rPr>
              <w:t>Nominee</w:t>
            </w:r>
            <w:r>
              <w:rPr>
                <w:b/>
                <w:spacing w:val="-2"/>
                <w:sz w:val="19"/>
                <w:u w:val="single"/>
              </w:rPr>
              <w:t> </w:t>
            </w:r>
            <w:r>
              <w:rPr>
                <w:b/>
                <w:sz w:val="19"/>
                <w:u w:val="single"/>
              </w:rPr>
              <w:t>Broker</w:t>
            </w:r>
            <w:r>
              <w:rPr>
                <w:b/>
                <w:sz w:val="19"/>
              </w:rPr>
              <w:tab/>
            </w:r>
            <w:r>
              <w:rPr>
                <w:b/>
                <w:spacing w:val="-3"/>
                <w:sz w:val="19"/>
                <w:u w:val="single"/>
              </w:rPr>
              <w:t>Nominee</w:t>
            </w:r>
            <w:r>
              <w:rPr>
                <w:b/>
                <w:spacing w:val="-1"/>
                <w:sz w:val="19"/>
                <w:u w:val="single"/>
              </w:rPr>
              <w:t> </w:t>
            </w:r>
            <w:r>
              <w:rPr>
                <w:b/>
                <w:sz w:val="19"/>
                <w:u w:val="single"/>
              </w:rPr>
              <w:t>Broker</w:t>
            </w:r>
          </w:p>
          <w:p>
            <w:pPr>
              <w:pStyle w:val="TableParagraph"/>
              <w:tabs>
                <w:tab w:pos="3815" w:val="left" w:leader="none"/>
              </w:tabs>
              <w:spacing w:line="198" w:lineRule="exact"/>
              <w:rPr>
                <w:sz w:val="19"/>
              </w:rPr>
            </w:pPr>
            <w:r>
              <w:rPr>
                <w:sz w:val="19"/>
              </w:rPr>
              <w:t>Robert</w:t>
            </w:r>
            <w:r>
              <w:rPr>
                <w:spacing w:val="-2"/>
                <w:sz w:val="19"/>
              </w:rPr>
              <w:t> </w:t>
            </w:r>
            <w:r>
              <w:rPr>
                <w:sz w:val="19"/>
              </w:rPr>
              <w:t>Rimes</w:t>
              <w:tab/>
              <w:t>Robert</w:t>
            </w:r>
            <w:r>
              <w:rPr>
                <w:spacing w:val="-6"/>
                <w:sz w:val="19"/>
              </w:rPr>
              <w:t> </w:t>
            </w:r>
            <w:r>
              <w:rPr>
                <w:sz w:val="19"/>
              </w:rPr>
              <w:t>Wendt</w:t>
            </w:r>
          </w:p>
        </w:tc>
      </w:tr>
    </w:tbl>
    <w:p>
      <w:pPr>
        <w:pStyle w:val="BodyText"/>
        <w:rPr>
          <w:sz w:val="20"/>
        </w:rPr>
      </w:pPr>
    </w:p>
    <w:p>
      <w:pPr>
        <w:pStyle w:val="BodyText"/>
        <w:spacing w:before="2"/>
        <w:rPr>
          <w:sz w:val="18"/>
        </w:rPr>
      </w:pPr>
    </w:p>
    <w:p>
      <w:pPr>
        <w:pStyle w:val="BodyText"/>
        <w:spacing w:line="242" w:lineRule="auto"/>
        <w:ind w:left="720" w:right="1083"/>
      </w:pPr>
      <w:r>
        <w:rPr/>
        <w:t>Any person wishing to make written representation in respect of any of these applications should address the correspondence by 27 December 2016 to:</w:t>
      </w:r>
    </w:p>
    <w:p>
      <w:pPr>
        <w:pStyle w:val="BodyText"/>
        <w:spacing w:before="2"/>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0"/>
        <w:gridCol w:w="4131"/>
      </w:tblGrid>
      <w:tr>
        <w:trPr>
          <w:trHeight w:val="867" w:hRule="atLeast"/>
        </w:trPr>
        <w:tc>
          <w:tcPr>
            <w:tcW w:w="4670" w:type="dxa"/>
          </w:tcPr>
          <w:p>
            <w:pPr>
              <w:pStyle w:val="TableParagraph"/>
              <w:spacing w:line="213" w:lineRule="exact"/>
              <w:rPr>
                <w:sz w:val="19"/>
              </w:rPr>
            </w:pPr>
            <w:r>
              <w:rPr>
                <w:sz w:val="19"/>
              </w:rPr>
              <w:t>Broker Licensing</w:t>
            </w:r>
          </w:p>
          <w:p>
            <w:pPr>
              <w:pStyle w:val="TableParagraph"/>
              <w:spacing w:line="242" w:lineRule="auto"/>
              <w:ind w:right="299"/>
              <w:rPr>
                <w:sz w:val="19"/>
              </w:rPr>
            </w:pPr>
            <w:r>
              <w:rPr>
                <w:sz w:val="19"/>
              </w:rPr>
              <w:t>Department of Immigration and Border Protection 5 Chan Street</w:t>
            </w:r>
          </w:p>
          <w:p>
            <w:pPr>
              <w:pStyle w:val="TableParagraph"/>
              <w:spacing w:line="195" w:lineRule="exact"/>
              <w:rPr>
                <w:sz w:val="19"/>
              </w:rPr>
            </w:pPr>
            <w:r>
              <w:rPr>
                <w:sz w:val="19"/>
              </w:rPr>
              <w:t>BELCONNEN ACT 2617</w:t>
            </w:r>
          </w:p>
        </w:tc>
        <w:tc>
          <w:tcPr>
            <w:tcW w:w="4131" w:type="dxa"/>
          </w:tcPr>
          <w:p>
            <w:pPr>
              <w:pStyle w:val="TableParagraph"/>
              <w:spacing w:before="1"/>
              <w:ind w:left="0"/>
              <w:rPr>
                <w:sz w:val="22"/>
              </w:rPr>
            </w:pPr>
          </w:p>
          <w:p>
            <w:pPr>
              <w:pStyle w:val="TableParagraph"/>
              <w:spacing w:before="1"/>
              <w:ind w:left="317"/>
              <w:rPr>
                <w:sz w:val="19"/>
              </w:rPr>
            </w:pPr>
            <w:r>
              <w:rPr>
                <w:sz w:val="19"/>
              </w:rPr>
              <w:t>Or email: </w:t>
            </w:r>
            <w:hyperlink r:id="rId6">
              <w:r>
                <w:rPr>
                  <w:color w:val="0000FF"/>
                  <w:sz w:val="19"/>
                  <w:u w:val="single" w:color="0000FF"/>
                </w:rPr>
                <w:t>brokers.licensing@border.gov.au</w:t>
              </w:r>
            </w:hyperlink>
          </w:p>
        </w:tc>
      </w:tr>
    </w:tbl>
    <w:p>
      <w:pPr>
        <w:pStyle w:val="BodyText"/>
        <w:spacing w:before="5"/>
        <w:rPr>
          <w:sz w:val="26"/>
        </w:rPr>
      </w:pPr>
    </w:p>
    <w:p>
      <w:pPr>
        <w:pStyle w:val="BodyText"/>
        <w:ind w:left="720" w:right="1083"/>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0"/>
        </w:rPr>
      </w:pPr>
    </w:p>
    <w:p>
      <w:pPr>
        <w:pStyle w:val="BodyText"/>
        <w:rPr>
          <w:sz w:val="20"/>
        </w:rPr>
      </w:pPr>
    </w:p>
    <w:p>
      <w:pPr>
        <w:pStyle w:val="BodyText"/>
        <w:spacing w:before="1"/>
        <w:rPr>
          <w:sz w:val="29"/>
        </w:rPr>
      </w:pPr>
    </w:p>
    <w:p>
      <w:pPr>
        <w:pStyle w:val="BodyText"/>
        <w:ind w:left="720"/>
      </w:pPr>
      <w:r>
        <w:rPr/>
        <w:t>[signed]</w:t>
      </w:r>
    </w:p>
    <w:p>
      <w:pPr>
        <w:pStyle w:val="BodyText"/>
        <w:spacing w:before="5"/>
        <w:rPr>
          <w:sz w:val="29"/>
        </w:rPr>
      </w:pPr>
    </w:p>
    <w:p>
      <w:pPr>
        <w:pStyle w:val="BodyText"/>
        <w:ind w:left="720" w:right="9684"/>
      </w:pPr>
      <w:r>
        <w:rPr/>
        <w:t>Thomas Lees Acting Director Ports Policy CANBERRA</w:t>
      </w:r>
      <w:r>
        <w:rPr>
          <w:spacing w:val="-3"/>
        </w:rPr>
        <w:t> </w:t>
      </w:r>
      <w:r>
        <w:rPr/>
        <w:t>ACT</w:t>
      </w:r>
    </w:p>
    <w:p>
      <w:pPr>
        <w:pStyle w:val="BodyText"/>
        <w:ind w:left="720"/>
      </w:pPr>
      <w:r>
        <w:rPr/>
        <w:t>7 December</w:t>
      </w:r>
      <w:r>
        <w:rPr>
          <w:spacing w:val="-7"/>
        </w:rPr>
        <w:t> </w:t>
      </w:r>
      <w:r>
        <w:rPr/>
        <w:t>2015</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19"/>
      <w:szCs w:val="19"/>
      <w:lang w:val="en-au" w:eastAsia="en-US" w:bidi="ar-SA"/>
    </w:rPr>
  </w:style>
  <w:style w:styleId="Title" w:type="paragraph">
    <w:name w:val="Title"/>
    <w:basedOn w:val="Normal"/>
    <w:uiPriority w:val="1"/>
    <w:qFormat/>
    <w:pPr>
      <w:spacing w:before="90"/>
      <w:ind w:left="1238"/>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Immigration and Border Protection</dc:creator>
  <cp:keywords>DIBPN, customs broker, licence, customs broker licence </cp:keywords>
  <dc:subject>Applications for Customs Broker Licence</dc:subject>
  <dc:title>Department of Immigration and Border Protection Notice 2016/37</dc:title>
  <dcterms:created xsi:type="dcterms:W3CDTF">2020-12-09T22:16:09Z</dcterms:created>
  <dcterms:modified xsi:type="dcterms:W3CDTF">2020-12-09T22:16:09Z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2016-12-07T00:00:00Z</vt:filetime>
  </property>
  <property fmtid="{D5CDD505-2E9C-101B-9397-08002B2CF9AE}" pid="3" name="LastSaved">
    <vt:filetime>2020-12-09T00:00:00Z</vt:filetime>
  </property>
</Properties>
</file>