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-1294486</wp:posOffset>
            </wp:positionV>
            <wp:extent cx="7560564" cy="1109217"/>
            <wp:effectExtent l="0" t="0" r="0" b="0"/>
            <wp:wrapNone/>
            <wp:docPr id="1" name="image1.jpeg" descr="Department of Immigration and Protection logo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pStyle w:val="Title"/>
        <w:spacing w:before="199"/>
        <w:ind w:left="3376" w:right="2923"/>
        <w:jc w:val="center"/>
      </w:pPr>
      <w:r>
        <w:rPr/>
        <w:pict>
          <v:rect style="position:absolute;margin-left:55.919998pt;margin-top:30.281845pt;width:506.16pt;height:.48pt;mso-position-horizontal-relative:page;mso-position-vertical-relative:paragraph;z-index:-15728640;mso-wrap-distance-left:0;mso-wrap-distance-right:0" filled="true" fillcolor="#4f81bc" stroked="false">
            <v:fill type="solid"/>
            <w10:wrap type="topAndBottom"/>
          </v:rect>
        </w:pict>
      </w:r>
      <w:r>
        <w:rPr/>
        <w:t>No. 2017/04</w:t>
      </w:r>
    </w:p>
    <w:p>
      <w:pPr>
        <w:pStyle w:val="BodyText"/>
        <w:spacing w:before="7"/>
        <w:rPr>
          <w:b/>
          <w:sz w:val="13"/>
        </w:rPr>
      </w:pPr>
    </w:p>
    <w:p>
      <w:pPr>
        <w:spacing w:before="91"/>
        <w:ind w:left="3376" w:right="3378" w:firstLine="0"/>
        <w:jc w:val="center"/>
        <w:rPr>
          <w:b/>
          <w:sz w:val="26"/>
        </w:rPr>
      </w:pPr>
      <w:r>
        <w:rPr>
          <w:b/>
          <w:sz w:val="26"/>
        </w:rPr>
        <w:t>Applications for Customs Broker Licence</w:t>
      </w:r>
    </w:p>
    <w:p>
      <w:pPr>
        <w:pStyle w:val="BodyText"/>
        <w:spacing w:before="7"/>
        <w:rPr>
          <w:b/>
          <w:sz w:val="24"/>
        </w:rPr>
      </w:pPr>
    </w:p>
    <w:p>
      <w:pPr>
        <w:pStyle w:val="BodyText"/>
        <w:ind w:left="720"/>
      </w:pPr>
      <w:r>
        <w:rPr/>
        <w:t>The following individuals and companies have applied to the Comptroller-General of Customs for a customs broker licence.</w:t>
      </w:r>
    </w:p>
    <w:p>
      <w:pPr>
        <w:pStyle w:val="BodyText"/>
        <w:spacing w:before="4"/>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3920"/>
        <w:gridCol w:w="3515"/>
      </w:tblGrid>
      <w:tr>
        <w:trPr>
          <w:trHeight w:val="216" w:hRule="atLeast"/>
        </w:trPr>
        <w:tc>
          <w:tcPr>
            <w:tcW w:w="2760" w:type="dxa"/>
          </w:tcPr>
          <w:p>
            <w:pPr>
              <w:pStyle w:val="TableParagraph"/>
              <w:spacing w:line="196" w:lineRule="exact"/>
              <w:ind w:left="50"/>
              <w:rPr>
                <w:b/>
                <w:sz w:val="19"/>
              </w:rPr>
            </w:pPr>
            <w:r>
              <w:rPr>
                <w:b/>
                <w:sz w:val="19"/>
                <w:u w:val="single"/>
              </w:rPr>
              <w:t>INDIVIDUALS</w:t>
            </w:r>
          </w:p>
        </w:tc>
        <w:tc>
          <w:tcPr>
            <w:tcW w:w="3920" w:type="dxa"/>
          </w:tcPr>
          <w:p>
            <w:pPr>
              <w:pStyle w:val="TableParagraph"/>
              <w:spacing w:line="196" w:lineRule="exact"/>
              <w:ind w:left="775"/>
              <w:rPr>
                <w:b/>
                <w:sz w:val="19"/>
              </w:rPr>
            </w:pPr>
            <w:r>
              <w:rPr>
                <w:b/>
                <w:sz w:val="19"/>
                <w:u w:val="single"/>
              </w:rPr>
              <w:t>COMPANY</w:t>
            </w:r>
          </w:p>
        </w:tc>
        <w:tc>
          <w:tcPr>
            <w:tcW w:w="3515" w:type="dxa"/>
          </w:tcPr>
          <w:p>
            <w:pPr>
              <w:pStyle w:val="TableParagraph"/>
              <w:spacing w:line="196" w:lineRule="exact"/>
              <w:ind w:left="415"/>
              <w:rPr>
                <w:b/>
                <w:sz w:val="19"/>
              </w:rPr>
            </w:pPr>
            <w:r>
              <w:rPr>
                <w:b/>
                <w:sz w:val="19"/>
                <w:u w:val="single"/>
              </w:rPr>
              <w:t>COMPANY</w:t>
            </w:r>
          </w:p>
        </w:tc>
      </w:tr>
      <w:tr>
        <w:trPr>
          <w:trHeight w:val="219" w:hRule="atLeast"/>
        </w:trPr>
        <w:tc>
          <w:tcPr>
            <w:tcW w:w="2760" w:type="dxa"/>
          </w:tcPr>
          <w:p>
            <w:pPr>
              <w:pStyle w:val="TableParagraph"/>
              <w:spacing w:line="200" w:lineRule="exact"/>
              <w:ind w:left="50"/>
              <w:rPr>
                <w:sz w:val="19"/>
              </w:rPr>
            </w:pPr>
            <w:r>
              <w:rPr>
                <w:sz w:val="19"/>
              </w:rPr>
              <w:t>Yukuan Lin</w:t>
            </w:r>
          </w:p>
        </w:tc>
        <w:tc>
          <w:tcPr>
            <w:tcW w:w="3920" w:type="dxa"/>
          </w:tcPr>
          <w:p>
            <w:pPr>
              <w:pStyle w:val="TableParagraph"/>
              <w:spacing w:line="200" w:lineRule="exact"/>
              <w:ind w:left="775"/>
              <w:rPr>
                <w:sz w:val="19"/>
              </w:rPr>
            </w:pPr>
            <w:r>
              <w:rPr>
                <w:sz w:val="19"/>
              </w:rPr>
              <w:t>Comprehensive Logistics Pty Ltd</w:t>
            </w:r>
          </w:p>
        </w:tc>
        <w:tc>
          <w:tcPr>
            <w:tcW w:w="3515" w:type="dxa"/>
          </w:tcPr>
          <w:p>
            <w:pPr>
              <w:pStyle w:val="TableParagraph"/>
              <w:spacing w:line="200" w:lineRule="exact"/>
              <w:ind w:left="415"/>
              <w:rPr>
                <w:sz w:val="19"/>
              </w:rPr>
            </w:pPr>
            <w:r>
              <w:rPr>
                <w:sz w:val="19"/>
              </w:rPr>
              <w:t>Kalgin International Freight Services</w:t>
            </w:r>
          </w:p>
        </w:tc>
      </w:tr>
      <w:tr>
        <w:trPr>
          <w:trHeight w:val="218" w:hRule="atLeast"/>
        </w:trPr>
        <w:tc>
          <w:tcPr>
            <w:tcW w:w="2760" w:type="dxa"/>
          </w:tcPr>
          <w:p>
            <w:pPr>
              <w:pStyle w:val="TableParagraph"/>
              <w:spacing w:line="199" w:lineRule="exact"/>
              <w:ind w:left="50"/>
              <w:rPr>
                <w:sz w:val="19"/>
              </w:rPr>
            </w:pPr>
            <w:r>
              <w:rPr>
                <w:sz w:val="19"/>
              </w:rPr>
              <w:t>Luca Andolfo</w:t>
            </w:r>
          </w:p>
        </w:tc>
        <w:tc>
          <w:tcPr>
            <w:tcW w:w="3920" w:type="dxa"/>
          </w:tcPr>
          <w:p>
            <w:pPr>
              <w:pStyle w:val="TableParagraph"/>
              <w:spacing w:line="199" w:lineRule="exact"/>
              <w:ind w:left="775"/>
              <w:rPr>
                <w:sz w:val="19"/>
              </w:rPr>
            </w:pPr>
            <w:r>
              <w:rPr>
                <w:sz w:val="19"/>
              </w:rPr>
              <w:t>ABN 42 169 345 493</w:t>
            </w:r>
          </w:p>
        </w:tc>
        <w:tc>
          <w:tcPr>
            <w:tcW w:w="3515" w:type="dxa"/>
          </w:tcPr>
          <w:p>
            <w:pPr>
              <w:pStyle w:val="TableParagraph"/>
              <w:spacing w:line="199" w:lineRule="exact"/>
              <w:ind w:left="401"/>
              <w:rPr>
                <w:sz w:val="19"/>
              </w:rPr>
            </w:pPr>
            <w:r>
              <w:rPr>
                <w:sz w:val="19"/>
              </w:rPr>
              <w:t>ABN 57 003 583 882</w:t>
            </w:r>
          </w:p>
        </w:tc>
      </w:tr>
      <w:tr>
        <w:trPr>
          <w:trHeight w:val="218" w:hRule="atLeast"/>
        </w:trPr>
        <w:tc>
          <w:tcPr>
            <w:tcW w:w="2760" w:type="dxa"/>
          </w:tcPr>
          <w:p>
            <w:pPr>
              <w:pStyle w:val="TableParagraph"/>
              <w:spacing w:line="198" w:lineRule="exact"/>
              <w:ind w:left="50"/>
              <w:rPr>
                <w:sz w:val="19"/>
              </w:rPr>
            </w:pPr>
            <w:r>
              <w:rPr>
                <w:sz w:val="19"/>
              </w:rPr>
              <w:t>Kim Ngan Pham</w:t>
            </w:r>
          </w:p>
        </w:tc>
        <w:tc>
          <w:tcPr>
            <w:tcW w:w="3920" w:type="dxa"/>
          </w:tcPr>
          <w:p>
            <w:pPr>
              <w:pStyle w:val="TableParagraph"/>
              <w:spacing w:line="198" w:lineRule="exact"/>
              <w:ind w:left="775"/>
              <w:rPr>
                <w:sz w:val="19"/>
              </w:rPr>
            </w:pPr>
            <w:r>
              <w:rPr>
                <w:sz w:val="19"/>
              </w:rPr>
              <w:t>Level 13, 109 Pitt Street</w:t>
            </w:r>
          </w:p>
        </w:tc>
        <w:tc>
          <w:tcPr>
            <w:tcW w:w="3515" w:type="dxa"/>
          </w:tcPr>
          <w:p>
            <w:pPr>
              <w:pStyle w:val="TableParagraph"/>
              <w:spacing w:line="198" w:lineRule="exact"/>
              <w:ind w:left="412"/>
              <w:rPr>
                <w:sz w:val="19"/>
              </w:rPr>
            </w:pPr>
            <w:r>
              <w:rPr>
                <w:sz w:val="19"/>
              </w:rPr>
              <w:t>Unit 1, 151 Beauchamp Road</w:t>
            </w:r>
          </w:p>
        </w:tc>
      </w:tr>
      <w:tr>
        <w:trPr>
          <w:trHeight w:val="218" w:hRule="atLeast"/>
        </w:trPr>
        <w:tc>
          <w:tcPr>
            <w:tcW w:w="2760" w:type="dxa"/>
          </w:tcPr>
          <w:p>
            <w:pPr>
              <w:pStyle w:val="TableParagraph"/>
              <w:spacing w:line="198" w:lineRule="exact"/>
              <w:ind w:left="50"/>
              <w:rPr>
                <w:sz w:val="19"/>
              </w:rPr>
            </w:pPr>
            <w:r>
              <w:rPr>
                <w:sz w:val="19"/>
              </w:rPr>
              <w:t>Vincent Chai Seng Tan</w:t>
            </w:r>
          </w:p>
        </w:tc>
        <w:tc>
          <w:tcPr>
            <w:tcW w:w="3920" w:type="dxa"/>
          </w:tcPr>
          <w:p>
            <w:pPr>
              <w:pStyle w:val="TableParagraph"/>
              <w:spacing w:line="198" w:lineRule="exact"/>
              <w:ind w:left="754"/>
              <w:rPr>
                <w:sz w:val="19"/>
              </w:rPr>
            </w:pPr>
            <w:r>
              <w:rPr>
                <w:sz w:val="19"/>
              </w:rPr>
              <w:t>SYDNEY NSW 2000</w:t>
            </w:r>
          </w:p>
        </w:tc>
        <w:tc>
          <w:tcPr>
            <w:tcW w:w="3515" w:type="dxa"/>
          </w:tcPr>
          <w:p>
            <w:pPr>
              <w:pStyle w:val="TableParagraph"/>
              <w:spacing w:line="198" w:lineRule="exact"/>
              <w:ind w:left="403"/>
              <w:rPr>
                <w:sz w:val="19"/>
              </w:rPr>
            </w:pPr>
            <w:r>
              <w:rPr>
                <w:sz w:val="19"/>
              </w:rPr>
              <w:t>MATRAVILLE NSW 2036</w:t>
            </w:r>
          </w:p>
        </w:tc>
      </w:tr>
      <w:tr>
        <w:trPr>
          <w:trHeight w:val="435" w:hRule="atLeast"/>
        </w:trPr>
        <w:tc>
          <w:tcPr>
            <w:tcW w:w="2760" w:type="dxa"/>
          </w:tcPr>
          <w:p>
            <w:pPr>
              <w:pStyle w:val="TableParagraph"/>
              <w:spacing w:line="215" w:lineRule="exact"/>
              <w:ind w:left="50"/>
              <w:rPr>
                <w:sz w:val="19"/>
              </w:rPr>
            </w:pPr>
            <w:r>
              <w:rPr>
                <w:sz w:val="19"/>
              </w:rPr>
              <w:t>David Liistro</w:t>
            </w:r>
          </w:p>
        </w:tc>
        <w:tc>
          <w:tcPr>
            <w:tcW w:w="3920" w:type="dxa"/>
          </w:tcPr>
          <w:p>
            <w:pPr>
              <w:pStyle w:val="TableParagraph"/>
              <w:spacing w:before="5"/>
              <w:ind w:left="0"/>
              <w:rPr>
                <w:sz w:val="18"/>
              </w:rPr>
            </w:pPr>
          </w:p>
          <w:p>
            <w:pPr>
              <w:pStyle w:val="TableParagraph"/>
              <w:spacing w:line="203" w:lineRule="exact"/>
              <w:ind w:left="775"/>
              <w:rPr>
                <w:b/>
                <w:sz w:val="19"/>
              </w:rPr>
            </w:pPr>
            <w:r>
              <w:rPr>
                <w:b/>
                <w:sz w:val="19"/>
                <w:u w:val="single"/>
              </w:rPr>
              <w:t>Person in Authority</w:t>
            </w:r>
          </w:p>
        </w:tc>
        <w:tc>
          <w:tcPr>
            <w:tcW w:w="3515" w:type="dxa"/>
          </w:tcPr>
          <w:p>
            <w:pPr>
              <w:pStyle w:val="TableParagraph"/>
              <w:spacing w:before="5"/>
              <w:ind w:left="0"/>
              <w:rPr>
                <w:sz w:val="18"/>
              </w:rPr>
            </w:pPr>
          </w:p>
          <w:p>
            <w:pPr>
              <w:pStyle w:val="TableParagraph"/>
              <w:spacing w:line="203" w:lineRule="exact"/>
              <w:ind w:left="391"/>
              <w:rPr>
                <w:b/>
                <w:sz w:val="19"/>
              </w:rPr>
            </w:pPr>
            <w:r>
              <w:rPr>
                <w:b/>
                <w:sz w:val="19"/>
                <w:u w:val="single"/>
              </w:rPr>
              <w:t>Person in Authority</w:t>
            </w:r>
          </w:p>
        </w:tc>
      </w:tr>
      <w:tr>
        <w:trPr>
          <w:trHeight w:val="219" w:hRule="atLeast"/>
        </w:trPr>
        <w:tc>
          <w:tcPr>
            <w:tcW w:w="2760" w:type="dxa"/>
          </w:tcPr>
          <w:p>
            <w:pPr>
              <w:pStyle w:val="TableParagraph"/>
              <w:ind w:left="0"/>
              <w:rPr>
                <w:rFonts w:ascii="Times New Roman"/>
                <w:sz w:val="14"/>
              </w:rPr>
            </w:pPr>
          </w:p>
        </w:tc>
        <w:tc>
          <w:tcPr>
            <w:tcW w:w="3920" w:type="dxa"/>
          </w:tcPr>
          <w:p>
            <w:pPr>
              <w:pStyle w:val="TableParagraph"/>
              <w:spacing w:line="200" w:lineRule="exact"/>
              <w:ind w:left="771"/>
              <w:rPr>
                <w:sz w:val="19"/>
              </w:rPr>
            </w:pPr>
            <w:r>
              <w:rPr>
                <w:sz w:val="19"/>
              </w:rPr>
              <w:t>Peter Vaughan</w:t>
            </w:r>
          </w:p>
        </w:tc>
        <w:tc>
          <w:tcPr>
            <w:tcW w:w="3515" w:type="dxa"/>
          </w:tcPr>
          <w:p>
            <w:pPr>
              <w:pStyle w:val="TableParagraph"/>
              <w:spacing w:line="200" w:lineRule="exact"/>
              <w:ind w:left="379"/>
              <w:rPr>
                <w:sz w:val="19"/>
              </w:rPr>
            </w:pPr>
            <w:r>
              <w:rPr>
                <w:sz w:val="19"/>
              </w:rPr>
              <w:t>Richard Lamport</w:t>
            </w:r>
          </w:p>
        </w:tc>
      </w:tr>
      <w:tr>
        <w:trPr>
          <w:trHeight w:val="326" w:hRule="atLeast"/>
        </w:trPr>
        <w:tc>
          <w:tcPr>
            <w:tcW w:w="2760" w:type="dxa"/>
          </w:tcPr>
          <w:p>
            <w:pPr>
              <w:pStyle w:val="TableParagraph"/>
              <w:ind w:left="0"/>
              <w:rPr>
                <w:rFonts w:ascii="Times New Roman"/>
                <w:sz w:val="18"/>
              </w:rPr>
            </w:pPr>
          </w:p>
        </w:tc>
        <w:tc>
          <w:tcPr>
            <w:tcW w:w="3920" w:type="dxa"/>
          </w:tcPr>
          <w:p>
            <w:pPr>
              <w:pStyle w:val="TableParagraph"/>
              <w:ind w:left="0"/>
              <w:rPr>
                <w:rFonts w:ascii="Times New Roman"/>
                <w:sz w:val="18"/>
              </w:rPr>
            </w:pPr>
          </w:p>
        </w:tc>
        <w:tc>
          <w:tcPr>
            <w:tcW w:w="3515" w:type="dxa"/>
          </w:tcPr>
          <w:p>
            <w:pPr>
              <w:pStyle w:val="TableParagraph"/>
              <w:spacing w:line="215" w:lineRule="exact"/>
              <w:ind w:left="379"/>
              <w:rPr>
                <w:sz w:val="19"/>
              </w:rPr>
            </w:pPr>
            <w:r>
              <w:rPr>
                <w:sz w:val="19"/>
              </w:rPr>
              <w:t>Greig Lamport</w:t>
            </w:r>
          </w:p>
        </w:tc>
      </w:tr>
      <w:tr>
        <w:trPr>
          <w:trHeight w:val="328" w:hRule="atLeast"/>
        </w:trPr>
        <w:tc>
          <w:tcPr>
            <w:tcW w:w="2760" w:type="dxa"/>
          </w:tcPr>
          <w:p>
            <w:pPr>
              <w:pStyle w:val="TableParagraph"/>
              <w:ind w:left="0"/>
              <w:rPr>
                <w:rFonts w:ascii="Times New Roman"/>
                <w:sz w:val="18"/>
              </w:rPr>
            </w:pPr>
          </w:p>
        </w:tc>
        <w:tc>
          <w:tcPr>
            <w:tcW w:w="3920" w:type="dxa"/>
          </w:tcPr>
          <w:p>
            <w:pPr>
              <w:pStyle w:val="TableParagraph"/>
              <w:spacing w:line="204" w:lineRule="exact" w:before="104"/>
              <w:ind w:left="775"/>
              <w:rPr>
                <w:b/>
                <w:sz w:val="19"/>
              </w:rPr>
            </w:pPr>
            <w:r>
              <w:rPr>
                <w:b/>
                <w:sz w:val="19"/>
                <w:u w:val="single"/>
              </w:rPr>
              <w:t>Nominee Broker</w:t>
            </w:r>
          </w:p>
        </w:tc>
        <w:tc>
          <w:tcPr>
            <w:tcW w:w="3515" w:type="dxa"/>
          </w:tcPr>
          <w:p>
            <w:pPr>
              <w:pStyle w:val="TableParagraph"/>
              <w:spacing w:line="204" w:lineRule="exact" w:before="104"/>
              <w:ind w:left="384"/>
              <w:rPr>
                <w:b/>
                <w:sz w:val="19"/>
              </w:rPr>
            </w:pPr>
            <w:r>
              <w:rPr>
                <w:b/>
                <w:sz w:val="19"/>
                <w:u w:val="single"/>
              </w:rPr>
              <w:t>Nominee Broker</w:t>
            </w:r>
          </w:p>
        </w:tc>
      </w:tr>
      <w:tr>
        <w:trPr>
          <w:trHeight w:val="217" w:hRule="atLeast"/>
        </w:trPr>
        <w:tc>
          <w:tcPr>
            <w:tcW w:w="2760" w:type="dxa"/>
          </w:tcPr>
          <w:p>
            <w:pPr>
              <w:pStyle w:val="TableParagraph"/>
              <w:ind w:left="0"/>
              <w:rPr>
                <w:rFonts w:ascii="Times New Roman"/>
                <w:sz w:val="14"/>
              </w:rPr>
            </w:pPr>
          </w:p>
        </w:tc>
        <w:tc>
          <w:tcPr>
            <w:tcW w:w="3920" w:type="dxa"/>
          </w:tcPr>
          <w:p>
            <w:pPr>
              <w:pStyle w:val="TableParagraph"/>
              <w:spacing w:line="198" w:lineRule="exact"/>
              <w:ind w:left="775"/>
              <w:rPr>
                <w:sz w:val="19"/>
              </w:rPr>
            </w:pPr>
            <w:r>
              <w:rPr>
                <w:sz w:val="19"/>
              </w:rPr>
              <w:t>Rosalie Crabtree</w:t>
            </w:r>
          </w:p>
        </w:tc>
        <w:tc>
          <w:tcPr>
            <w:tcW w:w="3515" w:type="dxa"/>
          </w:tcPr>
          <w:p>
            <w:pPr>
              <w:pStyle w:val="TableParagraph"/>
              <w:spacing w:line="198" w:lineRule="exact"/>
              <w:ind w:left="393"/>
              <w:rPr>
                <w:sz w:val="19"/>
              </w:rPr>
            </w:pPr>
            <w:r>
              <w:rPr>
                <w:sz w:val="19"/>
              </w:rPr>
              <w:t>Paul Harrison</w:t>
            </w:r>
          </w:p>
        </w:tc>
      </w:tr>
    </w:tbl>
    <w:p>
      <w:pPr>
        <w:pStyle w:val="BodyText"/>
        <w:spacing w:before="4"/>
      </w:pPr>
    </w:p>
    <w:tbl>
      <w:tblPr>
        <w:tblW w:w="0" w:type="auto"/>
        <w:jc w:val="left"/>
        <w:tblInd w:w="4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3"/>
      </w:tblGrid>
      <w:tr>
        <w:trPr>
          <w:trHeight w:val="1854" w:hRule="atLeast"/>
        </w:trPr>
        <w:tc>
          <w:tcPr>
            <w:tcW w:w="4033" w:type="dxa"/>
          </w:tcPr>
          <w:p>
            <w:pPr>
              <w:pStyle w:val="TableParagraph"/>
              <w:spacing w:line="212" w:lineRule="exact"/>
              <w:rPr>
                <w:b/>
                <w:sz w:val="19"/>
              </w:rPr>
            </w:pPr>
            <w:r>
              <w:rPr>
                <w:b/>
                <w:sz w:val="19"/>
                <w:u w:val="single"/>
              </w:rPr>
              <w:t>COMPANY</w:t>
            </w:r>
          </w:p>
          <w:p>
            <w:pPr>
              <w:pStyle w:val="TableParagraph"/>
              <w:spacing w:before="2"/>
              <w:ind w:right="180"/>
              <w:rPr>
                <w:sz w:val="19"/>
              </w:rPr>
            </w:pPr>
            <w:r>
              <w:rPr>
                <w:sz w:val="19"/>
              </w:rPr>
              <w:t>CH Robinson Worldwide (Australia) Pty Ltd ABN 51 135 205 551</w:t>
            </w:r>
          </w:p>
          <w:p>
            <w:pPr>
              <w:pStyle w:val="TableParagraph"/>
              <w:rPr>
                <w:sz w:val="19"/>
              </w:rPr>
            </w:pPr>
            <w:r>
              <w:rPr>
                <w:sz w:val="19"/>
              </w:rPr>
              <w:t>460 Bay Street</w:t>
            </w:r>
          </w:p>
          <w:p>
            <w:pPr>
              <w:pStyle w:val="TableParagraph"/>
              <w:rPr>
                <w:sz w:val="19"/>
              </w:rPr>
            </w:pPr>
            <w:r>
              <w:rPr>
                <w:sz w:val="19"/>
              </w:rPr>
              <w:t>PORT MELBOURNE VIC 3207</w:t>
            </w:r>
          </w:p>
          <w:p>
            <w:pPr>
              <w:pStyle w:val="TableParagraph"/>
              <w:spacing w:before="9"/>
              <w:ind w:left="0"/>
              <w:rPr>
                <w:sz w:val="18"/>
              </w:rPr>
            </w:pPr>
          </w:p>
          <w:p>
            <w:pPr>
              <w:pStyle w:val="TableParagraph"/>
              <w:rPr>
                <w:b/>
                <w:sz w:val="19"/>
              </w:rPr>
            </w:pPr>
            <w:r>
              <w:rPr>
                <w:b/>
                <w:sz w:val="19"/>
                <w:u w:val="single"/>
              </w:rPr>
              <w:t>Persons in Authority</w:t>
            </w:r>
          </w:p>
          <w:p>
            <w:pPr>
              <w:pStyle w:val="TableParagraph"/>
              <w:spacing w:before="2"/>
              <w:rPr>
                <w:sz w:val="19"/>
              </w:rPr>
            </w:pPr>
            <w:r>
              <w:rPr>
                <w:sz w:val="19"/>
              </w:rPr>
              <w:t>Anthony Considine</w:t>
            </w:r>
          </w:p>
        </w:tc>
      </w:tr>
      <w:tr>
        <w:trPr>
          <w:trHeight w:val="762" w:hRule="atLeast"/>
        </w:trPr>
        <w:tc>
          <w:tcPr>
            <w:tcW w:w="4033" w:type="dxa"/>
          </w:tcPr>
          <w:p>
            <w:pPr>
              <w:pStyle w:val="TableParagraph"/>
              <w:spacing w:before="104"/>
              <w:rPr>
                <w:b/>
                <w:sz w:val="19"/>
              </w:rPr>
            </w:pPr>
            <w:r>
              <w:rPr>
                <w:b/>
                <w:sz w:val="19"/>
                <w:u w:val="single"/>
              </w:rPr>
              <w:t>Nominee Broker</w:t>
            </w:r>
          </w:p>
          <w:p>
            <w:pPr>
              <w:pStyle w:val="TableParagraph"/>
              <w:spacing w:line="220" w:lineRule="atLeast" w:before="1"/>
              <w:ind w:right="2408"/>
              <w:rPr>
                <w:sz w:val="19"/>
              </w:rPr>
            </w:pPr>
            <w:r>
              <w:rPr>
                <w:sz w:val="19"/>
              </w:rPr>
              <w:t>Brian Slater Ronald Euesden</w:t>
            </w:r>
          </w:p>
        </w:tc>
      </w:tr>
    </w:tbl>
    <w:p>
      <w:pPr>
        <w:pStyle w:val="BodyText"/>
        <w:rPr>
          <w:sz w:val="20"/>
        </w:rPr>
      </w:pPr>
    </w:p>
    <w:p>
      <w:pPr>
        <w:pStyle w:val="BodyText"/>
        <w:spacing w:before="11"/>
        <w:rPr>
          <w:sz w:val="17"/>
        </w:rPr>
      </w:pPr>
    </w:p>
    <w:p>
      <w:pPr>
        <w:pStyle w:val="BodyText"/>
        <w:ind w:left="720" w:right="2023"/>
      </w:pPr>
      <w:r>
        <w:rPr/>
        <w:t>Any person wishing to make written representation in respect of any of these applications should address the correspondence by 6 April 2017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6"/>
        <w:gridCol w:w="5204"/>
      </w:tblGrid>
      <w:tr>
        <w:trPr>
          <w:trHeight w:val="867" w:hRule="atLeast"/>
        </w:trPr>
        <w:tc>
          <w:tcPr>
            <w:tcW w:w="3596" w:type="dxa"/>
          </w:tcPr>
          <w:p>
            <w:pPr>
              <w:pStyle w:val="TableParagraph"/>
              <w:ind w:right="1369"/>
              <w:rPr>
                <w:sz w:val="19"/>
              </w:rPr>
            </w:pPr>
            <w:r>
              <w:rPr>
                <w:sz w:val="19"/>
              </w:rPr>
              <w:t>Broker Licensing Australian Border Force 5 Constitution Avenue</w:t>
            </w:r>
          </w:p>
          <w:p>
            <w:pPr>
              <w:pStyle w:val="TableParagraph"/>
              <w:spacing w:line="198" w:lineRule="exact"/>
              <w:rPr>
                <w:sz w:val="19"/>
              </w:rPr>
            </w:pPr>
            <w:r>
              <w:rPr>
                <w:sz w:val="19"/>
              </w:rPr>
              <w:t>CANBERRA ACT 2601</w:t>
            </w:r>
          </w:p>
        </w:tc>
        <w:tc>
          <w:tcPr>
            <w:tcW w:w="5204" w:type="dxa"/>
          </w:tcPr>
          <w:p>
            <w:pPr>
              <w:pStyle w:val="TableParagraph"/>
              <w:spacing w:before="2"/>
              <w:ind w:left="0"/>
              <w:rPr>
                <w:sz w:val="22"/>
              </w:rPr>
            </w:pPr>
          </w:p>
          <w:p>
            <w:pPr>
              <w:pStyle w:val="TableParagraph"/>
              <w:ind w:left="1390"/>
              <w:rPr>
                <w:sz w:val="19"/>
              </w:rPr>
            </w:pPr>
            <w:r>
              <w:rPr>
                <w:sz w:val="19"/>
              </w:rPr>
              <w:t>Or email: </w:t>
            </w:r>
            <w:hyperlink r:id="rId6">
              <w:r>
                <w:rPr>
                  <w:color w:val="0000FF"/>
                  <w:sz w:val="19"/>
                  <w:u w:val="single" w:color="0000FF"/>
                </w:rPr>
                <w:t>brokers.licensing@border.gov.au</w:t>
              </w:r>
            </w:hyperlink>
          </w:p>
        </w:tc>
      </w:tr>
    </w:tbl>
    <w:p>
      <w:pPr>
        <w:pStyle w:val="BodyText"/>
        <w:spacing w:before="3"/>
        <w:rPr>
          <w:sz w:val="26"/>
        </w:rPr>
      </w:pPr>
    </w:p>
    <w:p>
      <w:pPr>
        <w:pStyle w:val="BodyText"/>
        <w:ind w:left="720" w:right="1083"/>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spacing w:before="1"/>
        <w:rPr>
          <w:sz w:val="20"/>
        </w:rPr>
      </w:pPr>
    </w:p>
    <w:p>
      <w:pPr>
        <w:pStyle w:val="BodyText"/>
        <w:ind w:left="720"/>
      </w:pPr>
      <w:r>
        <w:rPr/>
        <w:t>[signed]</w:t>
      </w:r>
    </w:p>
    <w:p>
      <w:pPr>
        <w:pStyle w:val="BodyText"/>
        <w:rPr>
          <w:sz w:val="20"/>
        </w:rPr>
      </w:pPr>
    </w:p>
    <w:p>
      <w:pPr>
        <w:pStyle w:val="BodyText"/>
        <w:spacing w:before="5"/>
        <w:rPr>
          <w:sz w:val="28"/>
        </w:rPr>
      </w:pPr>
    </w:p>
    <w:p>
      <w:pPr>
        <w:pStyle w:val="BodyText"/>
        <w:ind w:left="720" w:right="9849"/>
      </w:pPr>
      <w:r>
        <w:rPr/>
        <w:t>Alison Whatson Superintendent</w:t>
      </w:r>
    </w:p>
    <w:p>
      <w:pPr>
        <w:pStyle w:val="BodyText"/>
        <w:ind w:left="720" w:right="8096"/>
      </w:pPr>
      <w:r>
        <w:rPr/>
        <w:t>Trade and Goods Operational Policy CANBERRA ACT</w:t>
      </w:r>
    </w:p>
    <w:p>
      <w:pPr>
        <w:pStyle w:val="BodyText"/>
        <w:ind w:left="720"/>
      </w:pPr>
      <w:r>
        <w:rPr/>
        <w:t>20 March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9"/>
      <w:szCs w:val="19"/>
      <w:lang w:val="en-au" w:eastAsia="en-US" w:bidi="ar-SA"/>
    </w:rPr>
  </w:style>
  <w:style w:styleId="Title" w:type="paragraph">
    <w:name w:val="Title"/>
    <w:basedOn w:val="Normal"/>
    <w:uiPriority w:val="1"/>
    <w:qFormat/>
    <w:pPr>
      <w:spacing w:before="92"/>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dibp, notice, customs, broker, licence</cp:keywords>
  <dc:title>Department of Immigration and Border Protection DIBP notice 2017/04</dc:title>
  <dcterms:created xsi:type="dcterms:W3CDTF">2020-12-09T22:47:49Z</dcterms:created>
  <dcterms:modified xsi:type="dcterms:W3CDTF">2020-12-09T22:47:49Z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2017-03-20T00:00:00Z</vt:filetime>
  </property>
  <property fmtid="{D5CDD505-2E9C-101B-9397-08002B2CF9AE}" pid="3" name="LastSaved">
    <vt:filetime>2020-12-09T00:00:00Z</vt:filetime>
  </property>
</Properties>
</file>