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Title"/>
        <w:spacing w:line="391"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-1293329</wp:posOffset>
            </wp:positionV>
            <wp:extent cx="7559014" cy="1110657"/>
            <wp:effectExtent l="0" t="0" r="0" b="0"/>
            <wp:wrapNone/>
            <wp:docPr id="1" name="image1.jpeg" descr="Department of Immigration and Border Protection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14" cy="1110657"/>
                    </a:xfrm>
                    <a:prstGeom prst="rect">
                      <a:avLst/>
                    </a:prstGeom>
                  </pic:spPr>
                </pic:pic>
              </a:graphicData>
            </a:graphic>
          </wp:anchor>
        </w:drawing>
      </w:r>
      <w:r>
        <w:rPr/>
        <w:pict>
          <v:rect style="position:absolute;margin-left:34.560001pt;margin-top:50.992813pt;width:527.28pt;height:.48pt;mso-position-horizontal-relative:page;mso-position-vertical-relative:paragraph;z-index:-15874560" filled="true" fillcolor="#4f81bd" stroked="false">
            <v:fill type="solid"/>
            <w10:wrap type="none"/>
          </v:rect>
        </w:pict>
      </w:r>
      <w:r>
        <w:rPr/>
        <w:t>DEPARTMENT OF IMMIGRATION AND BORDER PROTECTION NOTICE No.2017/05</w:t>
      </w:r>
    </w:p>
    <w:p>
      <w:pPr>
        <w:spacing w:before="165"/>
        <w:ind w:left="3955" w:right="1312" w:hanging="2199"/>
        <w:jc w:val="left"/>
        <w:rPr>
          <w:rFonts w:ascii="Arial-BoldItalicMT" w:hAnsi="Arial-BoldItalicMT"/>
          <w:b/>
          <w:i/>
          <w:sz w:val="28"/>
        </w:rPr>
      </w:pPr>
      <w:r>
        <w:rPr>
          <w:rFonts w:ascii="Arial-BoldItalicMT" w:hAnsi="Arial-BoldItalicMT"/>
          <w:b/>
          <w:i/>
          <w:sz w:val="28"/>
        </w:rPr>
        <w:t>Biannual indexation of customs duty rates for certain tobacco and tobacco products – 1 March 2017</w:t>
      </w:r>
    </w:p>
    <w:p>
      <w:pPr>
        <w:pStyle w:val="BodyText"/>
        <w:spacing w:before="10"/>
        <w:rPr>
          <w:rFonts w:ascii="Arial-BoldItalicMT"/>
          <w:b/>
          <w:i/>
          <w:sz w:val="27"/>
        </w:rPr>
      </w:pPr>
    </w:p>
    <w:p>
      <w:pPr>
        <w:pStyle w:val="BodyText"/>
        <w:ind w:left="1147" w:right="959"/>
      </w:pPr>
      <w:r>
        <w:rPr/>
        <w:t>The Australian Bureau of Statistics released the average weekly ordinary time earnings (AWOTE) amount for the December Quarter 2016 on 23 February 2017. In accordance with the indexation provisions in section 19AB of the </w:t>
      </w:r>
      <w:r>
        <w:rPr>
          <w:i/>
        </w:rPr>
        <w:t>Customs Tariff Act 1995 </w:t>
      </w:r>
      <w:r>
        <w:rPr/>
        <w:t>(the Tariff Act), the customs duty rates on certain tobacco and tobacco products, in Schedule 3 of the Tariff Act, will increase on 1 March 2017. This Notice sets out the new customs duty rates for excise-equivalent goods (Table 1) and excise duty rates (Table 2).</w:t>
      </w:r>
    </w:p>
    <w:p>
      <w:pPr>
        <w:pStyle w:val="BodyText"/>
        <w:spacing w:before="9"/>
        <w:rPr>
          <w:sz w:val="23"/>
        </w:rPr>
      </w:pPr>
    </w:p>
    <w:p>
      <w:pPr>
        <w:pStyle w:val="BodyText"/>
        <w:spacing w:before="1"/>
        <w:ind w:left="1147" w:right="792"/>
      </w:pPr>
      <w:r>
        <w:rPr/>
        <w:t>The new customs duty rates for excise-equivalent goods and excise duty rates are calculated by multiplying the previous rates by an indexation factor. The indexation factor is calculated by dividing the most recent AWOTE amount, i.e. the December Quarter 2016 amount, by the previous highest June or December Quarter that does not precede the December Quarter 2012.</w:t>
      </w:r>
    </w:p>
    <w:p>
      <w:pPr>
        <w:pStyle w:val="BodyText"/>
        <w:spacing w:before="2"/>
      </w:pPr>
    </w:p>
    <w:p>
      <w:pPr>
        <w:pStyle w:val="BodyText"/>
        <w:ind w:left="1147" w:right="828"/>
      </w:pPr>
      <w:r>
        <w:rPr/>
        <w:t>Accordingly, the December Quarter 2016 amount (1533.40) has been divided by the June Quarter 2016 amount (1516.00) to establish an indexation factor of 1.011. As this factor is greater than one, rates of excise-equivalent customs duty and excise duty are increased by the application of this indexation factor.</w:t>
      </w:r>
    </w:p>
    <w:p>
      <w:pPr>
        <w:pStyle w:val="BodyText"/>
        <w:spacing w:before="8"/>
      </w:pPr>
    </w:p>
    <w:tbl>
      <w:tblPr>
        <w:tblW w:w="0" w:type="auto"/>
        <w:jc w:val="left"/>
        <w:tblInd w:w="2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7"/>
        <w:gridCol w:w="1356"/>
      </w:tblGrid>
      <w:tr>
        <w:trPr>
          <w:trHeight w:val="544" w:hRule="atLeast"/>
        </w:trPr>
        <w:tc>
          <w:tcPr>
            <w:tcW w:w="3157" w:type="dxa"/>
          </w:tcPr>
          <w:p>
            <w:pPr>
              <w:pStyle w:val="TableParagraph"/>
              <w:spacing w:line="266" w:lineRule="exact"/>
              <w:ind w:left="180" w:right="129"/>
              <w:jc w:val="center"/>
              <w:rPr>
                <w:i/>
                <w:sz w:val="24"/>
              </w:rPr>
            </w:pPr>
            <w:r>
              <w:rPr>
                <w:i/>
                <w:sz w:val="24"/>
              </w:rPr>
              <w:t>Tobacco duty rate on the day</w:t>
            </w:r>
          </w:p>
          <w:p>
            <w:pPr>
              <w:pStyle w:val="TableParagraph"/>
              <w:spacing w:line="256" w:lineRule="exact" w:before="2"/>
              <w:ind w:left="180" w:right="124"/>
              <w:jc w:val="center"/>
              <w:rPr>
                <w:i/>
                <w:sz w:val="24"/>
              </w:rPr>
            </w:pPr>
            <w:r>
              <w:rPr>
                <w:i/>
                <w:sz w:val="24"/>
              </w:rPr>
              <w:t>before the indexation day</w:t>
            </w:r>
          </w:p>
        </w:tc>
        <w:tc>
          <w:tcPr>
            <w:tcW w:w="1356" w:type="dxa"/>
          </w:tcPr>
          <w:p>
            <w:pPr>
              <w:pStyle w:val="TableParagraph"/>
              <w:tabs>
                <w:tab w:pos="614" w:val="left" w:leader="none"/>
              </w:tabs>
              <w:spacing w:line="266" w:lineRule="exact"/>
              <w:ind w:left="148"/>
              <w:rPr>
                <w:rFonts w:ascii="TimesNewRomanPS-BoldItalicMT" w:hAnsi="TimesNewRomanPS-BoldItalicMT"/>
                <w:b/>
                <w:i/>
                <w:sz w:val="24"/>
              </w:rPr>
            </w:pPr>
            <w:r>
              <w:rPr>
                <w:i/>
                <w:sz w:val="24"/>
              </w:rPr>
              <w:t>×</w:t>
              <w:tab/>
            </w:r>
            <w:r>
              <w:rPr>
                <w:rFonts w:ascii="TimesNewRomanPS-BoldItalicMT" w:hAnsi="TimesNewRomanPS-BoldItalicMT"/>
                <w:b/>
                <w:i/>
                <w:sz w:val="24"/>
              </w:rPr>
              <w:t>1.011</w:t>
            </w:r>
          </w:p>
        </w:tc>
      </w:tr>
    </w:tbl>
    <w:p>
      <w:pPr>
        <w:pStyle w:val="BodyText"/>
        <w:rPr>
          <w:sz w:val="26"/>
        </w:rPr>
      </w:pPr>
    </w:p>
    <w:p>
      <w:pPr>
        <w:pStyle w:val="BodyText"/>
        <w:spacing w:before="9"/>
        <w:rPr>
          <w:sz w:val="21"/>
        </w:rPr>
      </w:pPr>
    </w:p>
    <w:p>
      <w:pPr>
        <w:pStyle w:val="BodyText"/>
        <w:spacing w:line="242" w:lineRule="auto"/>
        <w:ind w:left="1147" w:right="919"/>
      </w:pPr>
      <w:r>
        <w:rPr/>
        <w:t>The formula above is also used to calculate the indexation rate for specific tobacco products subject to indexation in:</w:t>
      </w:r>
    </w:p>
    <w:p>
      <w:pPr>
        <w:pStyle w:val="ListParagraph"/>
        <w:numPr>
          <w:ilvl w:val="0"/>
          <w:numId w:val="1"/>
        </w:numPr>
        <w:tabs>
          <w:tab w:pos="1867" w:val="left" w:leader="none"/>
          <w:tab w:pos="1868" w:val="left" w:leader="none"/>
        </w:tabs>
        <w:spacing w:line="240" w:lineRule="auto" w:before="13" w:after="0"/>
        <w:ind w:left="1867" w:right="0" w:hanging="361"/>
        <w:jc w:val="left"/>
        <w:rPr>
          <w:sz w:val="24"/>
        </w:rPr>
      </w:pPr>
      <w:r>
        <w:rPr>
          <w:sz w:val="24"/>
        </w:rPr>
        <w:t>Schedule 5 (US originating</w:t>
      </w:r>
      <w:r>
        <w:rPr>
          <w:spacing w:val="2"/>
          <w:sz w:val="24"/>
        </w:rPr>
        <w:t> </w:t>
      </w:r>
      <w:r>
        <w:rPr>
          <w:sz w:val="24"/>
        </w:rPr>
        <w:t>goods)</w:t>
      </w:r>
    </w:p>
    <w:p>
      <w:pPr>
        <w:pStyle w:val="ListParagraph"/>
        <w:numPr>
          <w:ilvl w:val="0"/>
          <w:numId w:val="1"/>
        </w:numPr>
        <w:tabs>
          <w:tab w:pos="1867" w:val="left" w:leader="none"/>
          <w:tab w:pos="1868" w:val="left" w:leader="none"/>
        </w:tabs>
        <w:spacing w:line="240" w:lineRule="auto" w:before="15" w:after="0"/>
        <w:ind w:left="1867" w:right="0" w:hanging="361"/>
        <w:jc w:val="left"/>
        <w:rPr>
          <w:sz w:val="24"/>
        </w:rPr>
      </w:pPr>
      <w:r>
        <w:rPr>
          <w:sz w:val="24"/>
        </w:rPr>
        <w:t>Schedule 6 (Thai originating</w:t>
      </w:r>
      <w:r>
        <w:rPr>
          <w:spacing w:val="-3"/>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7 (Chilean originating</w:t>
      </w:r>
      <w:r>
        <w:rPr>
          <w:spacing w:val="1"/>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8 (ASEAN-Australia-New Zealand originating</w:t>
      </w:r>
      <w:r>
        <w:rPr>
          <w:spacing w:val="10"/>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9 (Malaysian originating</w:t>
      </w:r>
      <w:r>
        <w:rPr>
          <w:spacing w:val="1"/>
          <w:sz w:val="24"/>
        </w:rPr>
        <w:t> </w:t>
      </w:r>
      <w:r>
        <w:rPr>
          <w:sz w:val="24"/>
        </w:rPr>
        <w:t>goods)</w:t>
      </w:r>
    </w:p>
    <w:p>
      <w:pPr>
        <w:pStyle w:val="ListParagraph"/>
        <w:numPr>
          <w:ilvl w:val="0"/>
          <w:numId w:val="1"/>
        </w:numPr>
        <w:tabs>
          <w:tab w:pos="1867" w:val="left" w:leader="none"/>
          <w:tab w:pos="1868" w:val="left" w:leader="none"/>
        </w:tabs>
        <w:spacing w:line="240" w:lineRule="auto" w:before="15" w:after="0"/>
        <w:ind w:left="1867" w:right="0" w:hanging="361"/>
        <w:jc w:val="left"/>
        <w:rPr>
          <w:sz w:val="24"/>
        </w:rPr>
      </w:pPr>
      <w:r>
        <w:rPr>
          <w:sz w:val="24"/>
        </w:rPr>
        <w:t>Schedule 10 (Korean originating</w:t>
      </w:r>
      <w:r>
        <w:rPr>
          <w:spacing w:val="1"/>
          <w:sz w:val="24"/>
        </w:rPr>
        <w:t> </w:t>
      </w:r>
      <w:r>
        <w:rPr>
          <w:sz w:val="24"/>
        </w:rPr>
        <w:t>goods)</w:t>
      </w:r>
    </w:p>
    <w:p>
      <w:pPr>
        <w:pStyle w:val="ListParagraph"/>
        <w:numPr>
          <w:ilvl w:val="0"/>
          <w:numId w:val="1"/>
        </w:numPr>
        <w:tabs>
          <w:tab w:pos="1867" w:val="left" w:leader="none"/>
          <w:tab w:pos="1868" w:val="left" w:leader="none"/>
        </w:tabs>
        <w:spacing w:line="240" w:lineRule="auto" w:before="21" w:after="0"/>
        <w:ind w:left="1867" w:right="0" w:hanging="361"/>
        <w:jc w:val="left"/>
        <w:rPr>
          <w:sz w:val="24"/>
        </w:rPr>
      </w:pPr>
      <w:r>
        <w:rPr>
          <w:sz w:val="24"/>
        </w:rPr>
        <w:t>Schedule 11 (Japanese originating goods)</w:t>
      </w:r>
      <w:r>
        <w:rPr>
          <w:spacing w:val="3"/>
          <w:sz w:val="24"/>
        </w:rPr>
        <w:t> </w:t>
      </w:r>
      <w:r>
        <w:rPr>
          <w:sz w:val="24"/>
        </w:rPr>
        <w:t>and</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12 (Chinese originating goods) </w:t>
      </w:r>
      <w:r>
        <w:rPr>
          <w:spacing w:val="-3"/>
          <w:sz w:val="24"/>
        </w:rPr>
        <w:t>in </w:t>
      </w:r>
      <w:r>
        <w:rPr>
          <w:sz w:val="24"/>
        </w:rPr>
        <w:t>the Customs</w:t>
      </w:r>
      <w:r>
        <w:rPr>
          <w:spacing w:val="7"/>
          <w:sz w:val="24"/>
        </w:rPr>
        <w:t> </w:t>
      </w:r>
      <w:r>
        <w:rPr>
          <w:sz w:val="24"/>
        </w:rPr>
        <w:t>Tariff.</w:t>
      </w:r>
    </w:p>
    <w:p>
      <w:pPr>
        <w:pStyle w:val="BodyText"/>
        <w:spacing w:before="6"/>
        <w:rPr>
          <w:sz w:val="23"/>
        </w:rPr>
      </w:pPr>
    </w:p>
    <w:p>
      <w:pPr>
        <w:pStyle w:val="BodyText"/>
        <w:ind w:left="1147" w:right="1046"/>
      </w:pPr>
      <w:r>
        <w:rPr/>
        <w:t>The Department of Immigration and Border Protection will arrange for the publication of a Notice of Substituted Rates of Customs Duty for Excise-Equivalent Goods Notice (No. 2) 2017 in the </w:t>
      </w:r>
      <w:r>
        <w:rPr>
          <w:i/>
        </w:rPr>
        <w:t>Commonwealth Gazette </w:t>
      </w:r>
      <w:r>
        <w:rPr/>
        <w:t>on 1 March 2017.</w:t>
      </w:r>
    </w:p>
    <w:p>
      <w:pPr>
        <w:spacing w:after="0"/>
        <w:sectPr>
          <w:type w:val="continuous"/>
          <w:pgSz w:w="11910" w:h="16840"/>
          <w:pgMar w:top="600" w:bottom="280" w:left="0" w:right="0"/>
        </w:sectPr>
      </w:pPr>
    </w:p>
    <w:p>
      <w:pPr>
        <w:pStyle w:val="BodyText"/>
        <w:rPr>
          <w:sz w:val="16"/>
        </w:rPr>
      </w:pPr>
    </w:p>
    <w:p>
      <w:pPr>
        <w:pStyle w:val="BodyText"/>
        <w:spacing w:before="90"/>
        <w:ind w:left="1147"/>
      </w:pPr>
      <w:r>
        <w:rPr/>
        <w:t>Please direct any inquiries concerning these matters to the following contacts:</w:t>
      </w:r>
    </w:p>
    <w:p>
      <w:pPr>
        <w:pStyle w:val="BodyText"/>
        <w:spacing w:before="10" w:after="1"/>
      </w:pPr>
    </w:p>
    <w:tbl>
      <w:tblPr>
        <w:tblW w:w="0" w:type="auto"/>
        <w:jc w:val="left"/>
        <w:tblInd w:w="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3"/>
        <w:gridCol w:w="4069"/>
      </w:tblGrid>
      <w:tr>
        <w:trPr>
          <w:trHeight w:val="2473" w:hRule="atLeast"/>
        </w:trPr>
        <w:tc>
          <w:tcPr>
            <w:tcW w:w="4343" w:type="dxa"/>
          </w:tcPr>
          <w:p>
            <w:pPr>
              <w:pStyle w:val="TableParagraph"/>
              <w:spacing w:line="266" w:lineRule="exact"/>
              <w:ind w:left="200"/>
              <w:rPr>
                <w:sz w:val="24"/>
              </w:rPr>
            </w:pPr>
            <w:r>
              <w:rPr>
                <w:sz w:val="24"/>
                <w:u w:val="single"/>
              </w:rPr>
              <w:t>For customs duty rates</w:t>
            </w:r>
          </w:p>
          <w:p>
            <w:pPr>
              <w:pStyle w:val="TableParagraph"/>
              <w:ind w:left="0"/>
              <w:rPr>
                <w:sz w:val="24"/>
              </w:rPr>
            </w:pPr>
          </w:p>
          <w:p>
            <w:pPr>
              <w:pStyle w:val="TableParagraph"/>
              <w:spacing w:line="242" w:lineRule="auto"/>
              <w:ind w:left="200" w:right="444"/>
              <w:rPr>
                <w:sz w:val="24"/>
              </w:rPr>
            </w:pPr>
            <w:r>
              <w:rPr>
                <w:sz w:val="24"/>
              </w:rPr>
              <w:t>Assistant Director – Tariff Legislation Trade Policy</w:t>
            </w:r>
          </w:p>
          <w:p>
            <w:pPr>
              <w:pStyle w:val="TableParagraph"/>
              <w:spacing w:line="242" w:lineRule="auto"/>
              <w:ind w:left="200" w:right="337"/>
              <w:rPr>
                <w:sz w:val="24"/>
              </w:rPr>
            </w:pPr>
            <w:r>
              <w:rPr>
                <w:sz w:val="24"/>
              </w:rPr>
              <w:t>Department of Immigration and Border Protection</w:t>
            </w:r>
          </w:p>
          <w:p>
            <w:pPr>
              <w:pStyle w:val="TableParagraph"/>
              <w:spacing w:line="271" w:lineRule="exact"/>
              <w:ind w:left="200"/>
              <w:rPr>
                <w:sz w:val="24"/>
              </w:rPr>
            </w:pPr>
            <w:r>
              <w:rPr>
                <w:sz w:val="24"/>
              </w:rPr>
              <w:t>5 Chan Street</w:t>
            </w:r>
          </w:p>
          <w:p>
            <w:pPr>
              <w:pStyle w:val="TableParagraph"/>
              <w:spacing w:line="275" w:lineRule="exact"/>
              <w:ind w:left="200"/>
              <w:rPr>
                <w:sz w:val="24"/>
              </w:rPr>
            </w:pPr>
            <w:r>
              <w:rPr>
                <w:sz w:val="24"/>
              </w:rPr>
              <w:t>BELCONNEN ACT 2616</w:t>
            </w:r>
          </w:p>
          <w:p>
            <w:pPr>
              <w:pStyle w:val="TableParagraph"/>
              <w:spacing w:line="255" w:lineRule="exact"/>
              <w:ind w:left="200"/>
              <w:rPr>
                <w:sz w:val="24"/>
              </w:rPr>
            </w:pPr>
            <w:r>
              <w:rPr>
                <w:sz w:val="24"/>
              </w:rPr>
              <w:t>Ph: (02) 6264 2143</w:t>
            </w:r>
          </w:p>
        </w:tc>
        <w:tc>
          <w:tcPr>
            <w:tcW w:w="4069" w:type="dxa"/>
          </w:tcPr>
          <w:p>
            <w:pPr>
              <w:pStyle w:val="TableParagraph"/>
              <w:spacing w:line="266" w:lineRule="exact"/>
              <w:ind w:left="393"/>
              <w:rPr>
                <w:sz w:val="24"/>
              </w:rPr>
            </w:pPr>
            <w:r>
              <w:rPr>
                <w:sz w:val="24"/>
                <w:u w:val="single"/>
              </w:rPr>
              <w:t>For excise duty rates</w:t>
            </w:r>
          </w:p>
          <w:p>
            <w:pPr>
              <w:pStyle w:val="TableParagraph"/>
              <w:ind w:left="0"/>
              <w:rPr>
                <w:sz w:val="24"/>
              </w:rPr>
            </w:pPr>
          </w:p>
          <w:p>
            <w:pPr>
              <w:pStyle w:val="TableParagraph"/>
              <w:ind w:left="393"/>
              <w:rPr>
                <w:sz w:val="24"/>
              </w:rPr>
            </w:pPr>
            <w:r>
              <w:rPr>
                <w:sz w:val="24"/>
              </w:rPr>
              <w:t>Director</w:t>
            </w:r>
          </w:p>
          <w:p>
            <w:pPr>
              <w:pStyle w:val="TableParagraph"/>
              <w:spacing w:before="2"/>
              <w:ind w:left="392"/>
              <w:rPr>
                <w:sz w:val="24"/>
              </w:rPr>
            </w:pPr>
            <w:r>
              <w:rPr>
                <w:sz w:val="24"/>
              </w:rPr>
              <w:t>Indirect Tax, Revenue Performance, Intelligence and Effectiveness Australian Taxation Office</w:t>
            </w:r>
          </w:p>
          <w:p>
            <w:pPr>
              <w:pStyle w:val="TableParagraph"/>
              <w:spacing w:line="274" w:lineRule="exact"/>
              <w:ind w:left="392"/>
              <w:rPr>
                <w:sz w:val="24"/>
              </w:rPr>
            </w:pPr>
            <w:r>
              <w:rPr>
                <w:sz w:val="24"/>
              </w:rPr>
              <w:t>21 Genge Street</w:t>
            </w:r>
          </w:p>
          <w:p>
            <w:pPr>
              <w:pStyle w:val="TableParagraph"/>
              <w:spacing w:line="275" w:lineRule="exact" w:before="3"/>
              <w:ind w:left="392"/>
              <w:rPr>
                <w:sz w:val="24"/>
              </w:rPr>
            </w:pPr>
            <w:r>
              <w:rPr>
                <w:sz w:val="24"/>
              </w:rPr>
              <w:t>CANBERRA ACT 2600</w:t>
            </w:r>
          </w:p>
          <w:p>
            <w:pPr>
              <w:pStyle w:val="TableParagraph"/>
              <w:spacing w:line="255" w:lineRule="exact"/>
              <w:ind w:left="359"/>
              <w:rPr>
                <w:sz w:val="24"/>
              </w:rPr>
            </w:pPr>
            <w:r>
              <w:rPr>
                <w:sz w:val="24"/>
              </w:rPr>
              <w:t>Ph: (02) 6216 1397</w:t>
            </w:r>
          </w:p>
        </w:tc>
      </w:tr>
    </w:tbl>
    <w:p>
      <w:pPr>
        <w:pStyle w:val="BodyText"/>
        <w:rPr>
          <w:sz w:val="26"/>
        </w:rPr>
      </w:pPr>
    </w:p>
    <w:p>
      <w:pPr>
        <w:pStyle w:val="BodyText"/>
        <w:spacing w:before="2"/>
        <w:rPr>
          <w:sz w:val="22"/>
        </w:rPr>
      </w:pPr>
    </w:p>
    <w:p>
      <w:pPr>
        <w:pStyle w:val="BodyText"/>
        <w:ind w:left="1147"/>
      </w:pPr>
      <w:r>
        <w:rPr/>
        <w:t>The Tariff Working Pages to be issued in connection with these changes are:</w:t>
      </w:r>
    </w:p>
    <w:p>
      <w:pPr>
        <w:pStyle w:val="BodyText"/>
        <w:spacing w:before="10"/>
      </w:pPr>
    </w:p>
    <w:tbl>
      <w:tblPr>
        <w:tblW w:w="0" w:type="auto"/>
        <w:jc w:val="left"/>
        <w:tblInd w:w="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1"/>
        <w:gridCol w:w="2084"/>
        <w:gridCol w:w="2050"/>
        <w:gridCol w:w="2052"/>
        <w:gridCol w:w="1693"/>
      </w:tblGrid>
      <w:tr>
        <w:trPr>
          <w:trHeight w:val="269" w:hRule="atLeast"/>
        </w:trPr>
        <w:tc>
          <w:tcPr>
            <w:tcW w:w="1781" w:type="dxa"/>
          </w:tcPr>
          <w:p>
            <w:pPr>
              <w:pStyle w:val="TableParagraph"/>
              <w:spacing w:line="250" w:lineRule="exact"/>
              <w:ind w:left="200"/>
              <w:rPr>
                <w:sz w:val="24"/>
              </w:rPr>
            </w:pPr>
            <w:r>
              <w:rPr>
                <w:sz w:val="24"/>
                <w:u w:val="single"/>
              </w:rPr>
              <w:t>Schedule 3</w:t>
            </w:r>
          </w:p>
        </w:tc>
        <w:tc>
          <w:tcPr>
            <w:tcW w:w="2084" w:type="dxa"/>
          </w:tcPr>
          <w:p>
            <w:pPr>
              <w:pStyle w:val="TableParagraph"/>
              <w:spacing w:line="250" w:lineRule="exact"/>
              <w:ind w:left="468"/>
              <w:rPr>
                <w:sz w:val="24"/>
              </w:rPr>
            </w:pPr>
            <w:r>
              <w:rPr>
                <w:sz w:val="24"/>
                <w:u w:val="single"/>
              </w:rPr>
              <w:t>Schedule 5</w:t>
            </w:r>
          </w:p>
        </w:tc>
        <w:tc>
          <w:tcPr>
            <w:tcW w:w="2050" w:type="dxa"/>
          </w:tcPr>
          <w:p>
            <w:pPr>
              <w:pStyle w:val="TableParagraph"/>
              <w:spacing w:line="250" w:lineRule="exact"/>
              <w:ind w:left="293" w:right="416"/>
              <w:jc w:val="center"/>
              <w:rPr>
                <w:sz w:val="24"/>
              </w:rPr>
            </w:pPr>
            <w:r>
              <w:rPr>
                <w:sz w:val="24"/>
                <w:u w:val="single"/>
              </w:rPr>
              <w:t>Schedule 6</w:t>
            </w:r>
          </w:p>
        </w:tc>
        <w:tc>
          <w:tcPr>
            <w:tcW w:w="2052" w:type="dxa"/>
          </w:tcPr>
          <w:p>
            <w:pPr>
              <w:pStyle w:val="TableParagraph"/>
              <w:spacing w:line="250" w:lineRule="exact"/>
              <w:ind w:left="433"/>
              <w:rPr>
                <w:sz w:val="24"/>
              </w:rPr>
            </w:pPr>
            <w:r>
              <w:rPr>
                <w:sz w:val="24"/>
                <w:u w:val="single"/>
              </w:rPr>
              <w:t>Schedule 7</w:t>
            </w:r>
          </w:p>
        </w:tc>
        <w:tc>
          <w:tcPr>
            <w:tcW w:w="1693" w:type="dxa"/>
          </w:tcPr>
          <w:p>
            <w:pPr>
              <w:pStyle w:val="TableParagraph"/>
              <w:spacing w:line="250" w:lineRule="exact"/>
              <w:ind w:left="436"/>
              <w:rPr>
                <w:sz w:val="24"/>
              </w:rPr>
            </w:pPr>
            <w:r>
              <w:rPr>
                <w:sz w:val="24"/>
                <w:u w:val="single"/>
              </w:rPr>
              <w:t>Schedule 8</w:t>
            </w:r>
          </w:p>
        </w:tc>
      </w:tr>
      <w:tr>
        <w:trPr>
          <w:trHeight w:val="691" w:hRule="atLeast"/>
        </w:trPr>
        <w:tc>
          <w:tcPr>
            <w:tcW w:w="1781" w:type="dxa"/>
          </w:tcPr>
          <w:p>
            <w:pPr>
              <w:pStyle w:val="TableParagraph"/>
              <w:spacing w:line="270" w:lineRule="exact"/>
              <w:ind w:left="200"/>
              <w:rPr>
                <w:sz w:val="24"/>
              </w:rPr>
            </w:pPr>
            <w:r>
              <w:rPr>
                <w:sz w:val="24"/>
              </w:rPr>
              <w:t>24/3</w:t>
            </w:r>
            <w:r>
              <w:rPr>
                <w:spacing w:val="3"/>
                <w:sz w:val="24"/>
              </w:rPr>
              <w:t> </w:t>
            </w:r>
            <w:r>
              <w:rPr>
                <w:sz w:val="24"/>
              </w:rPr>
              <w:t>(R.49)</w:t>
            </w:r>
          </w:p>
          <w:p>
            <w:pPr>
              <w:pStyle w:val="TableParagraph"/>
              <w:spacing w:before="2"/>
              <w:ind w:left="200"/>
              <w:rPr>
                <w:sz w:val="24"/>
              </w:rPr>
            </w:pPr>
            <w:r>
              <w:rPr>
                <w:sz w:val="24"/>
              </w:rPr>
              <w:t>24/5</w:t>
            </w:r>
            <w:r>
              <w:rPr>
                <w:spacing w:val="3"/>
                <w:sz w:val="24"/>
              </w:rPr>
              <w:t> </w:t>
            </w:r>
            <w:r>
              <w:rPr>
                <w:sz w:val="24"/>
              </w:rPr>
              <w:t>(R.23)</w:t>
            </w:r>
          </w:p>
        </w:tc>
        <w:tc>
          <w:tcPr>
            <w:tcW w:w="2084" w:type="dxa"/>
          </w:tcPr>
          <w:p>
            <w:pPr>
              <w:pStyle w:val="TableParagraph"/>
              <w:spacing w:line="270" w:lineRule="exact"/>
              <w:ind w:left="468"/>
              <w:rPr>
                <w:sz w:val="24"/>
              </w:rPr>
            </w:pPr>
            <w:r>
              <w:rPr>
                <w:sz w:val="24"/>
              </w:rPr>
              <w:t>5/3 (R.48)</w:t>
            </w:r>
          </w:p>
        </w:tc>
        <w:tc>
          <w:tcPr>
            <w:tcW w:w="2050" w:type="dxa"/>
          </w:tcPr>
          <w:p>
            <w:pPr>
              <w:pStyle w:val="TableParagraph"/>
              <w:spacing w:line="270" w:lineRule="exact"/>
              <w:ind w:left="229" w:right="416"/>
              <w:jc w:val="center"/>
              <w:rPr>
                <w:sz w:val="24"/>
              </w:rPr>
            </w:pPr>
            <w:r>
              <w:rPr>
                <w:sz w:val="24"/>
              </w:rPr>
              <w:t>6/3 (R.47)</w:t>
            </w:r>
          </w:p>
        </w:tc>
        <w:tc>
          <w:tcPr>
            <w:tcW w:w="2052" w:type="dxa"/>
          </w:tcPr>
          <w:p>
            <w:pPr>
              <w:pStyle w:val="TableParagraph"/>
              <w:spacing w:line="270" w:lineRule="exact"/>
              <w:ind w:left="433"/>
              <w:rPr>
                <w:sz w:val="24"/>
              </w:rPr>
            </w:pPr>
            <w:r>
              <w:rPr>
                <w:sz w:val="24"/>
              </w:rPr>
              <w:t>7/3 (R.31)</w:t>
            </w:r>
          </w:p>
        </w:tc>
        <w:tc>
          <w:tcPr>
            <w:tcW w:w="1693" w:type="dxa"/>
          </w:tcPr>
          <w:p>
            <w:pPr>
              <w:pStyle w:val="TableParagraph"/>
              <w:spacing w:line="270" w:lineRule="exact"/>
              <w:ind w:left="436"/>
              <w:rPr>
                <w:sz w:val="24"/>
              </w:rPr>
            </w:pPr>
            <w:r>
              <w:rPr>
                <w:sz w:val="24"/>
              </w:rPr>
              <w:t>8/3 (R.33)</w:t>
            </w:r>
          </w:p>
        </w:tc>
      </w:tr>
      <w:tr>
        <w:trPr>
          <w:trHeight w:val="412" w:hRule="atLeast"/>
        </w:trPr>
        <w:tc>
          <w:tcPr>
            <w:tcW w:w="1781" w:type="dxa"/>
          </w:tcPr>
          <w:p>
            <w:pPr>
              <w:pStyle w:val="TableParagraph"/>
              <w:spacing w:line="260" w:lineRule="exact" w:before="133"/>
              <w:ind w:left="200"/>
              <w:rPr>
                <w:sz w:val="24"/>
              </w:rPr>
            </w:pPr>
            <w:r>
              <w:rPr>
                <w:sz w:val="24"/>
                <w:u w:val="single"/>
              </w:rPr>
              <w:t>Schedule 9</w:t>
            </w:r>
          </w:p>
        </w:tc>
        <w:tc>
          <w:tcPr>
            <w:tcW w:w="2084" w:type="dxa"/>
          </w:tcPr>
          <w:p>
            <w:pPr>
              <w:pStyle w:val="TableParagraph"/>
              <w:spacing w:line="260" w:lineRule="exact" w:before="133"/>
              <w:ind w:left="468"/>
              <w:rPr>
                <w:sz w:val="24"/>
              </w:rPr>
            </w:pPr>
            <w:r>
              <w:rPr>
                <w:sz w:val="24"/>
                <w:u w:val="single"/>
              </w:rPr>
              <w:t>Schedule 10</w:t>
            </w:r>
          </w:p>
        </w:tc>
        <w:tc>
          <w:tcPr>
            <w:tcW w:w="2050" w:type="dxa"/>
          </w:tcPr>
          <w:p>
            <w:pPr>
              <w:pStyle w:val="TableParagraph"/>
              <w:spacing w:line="260" w:lineRule="exact" w:before="133"/>
              <w:ind w:left="413" w:right="416"/>
              <w:jc w:val="center"/>
              <w:rPr>
                <w:sz w:val="24"/>
              </w:rPr>
            </w:pPr>
            <w:r>
              <w:rPr>
                <w:sz w:val="24"/>
                <w:u w:val="single"/>
              </w:rPr>
              <w:t>Schedule 11</w:t>
            </w:r>
          </w:p>
        </w:tc>
        <w:tc>
          <w:tcPr>
            <w:tcW w:w="2052" w:type="dxa"/>
          </w:tcPr>
          <w:p>
            <w:pPr>
              <w:pStyle w:val="TableParagraph"/>
              <w:spacing w:line="260" w:lineRule="exact" w:before="133"/>
              <w:ind w:left="433"/>
              <w:rPr>
                <w:sz w:val="24"/>
              </w:rPr>
            </w:pPr>
            <w:r>
              <w:rPr>
                <w:sz w:val="24"/>
                <w:u w:val="single"/>
              </w:rPr>
              <w:t>Schedule 12</w:t>
            </w:r>
          </w:p>
        </w:tc>
        <w:tc>
          <w:tcPr>
            <w:tcW w:w="1693" w:type="dxa"/>
          </w:tcPr>
          <w:p>
            <w:pPr>
              <w:pStyle w:val="TableParagraph"/>
              <w:ind w:left="0"/>
              <w:rPr>
                <w:sz w:val="22"/>
              </w:rPr>
            </w:pPr>
          </w:p>
        </w:tc>
      </w:tr>
      <w:tr>
        <w:trPr>
          <w:trHeight w:val="269" w:hRule="atLeast"/>
        </w:trPr>
        <w:tc>
          <w:tcPr>
            <w:tcW w:w="1781" w:type="dxa"/>
          </w:tcPr>
          <w:p>
            <w:pPr>
              <w:pStyle w:val="TableParagraph"/>
              <w:spacing w:line="250" w:lineRule="exact"/>
              <w:ind w:left="200"/>
              <w:rPr>
                <w:sz w:val="24"/>
              </w:rPr>
            </w:pPr>
            <w:r>
              <w:rPr>
                <w:sz w:val="24"/>
              </w:rPr>
              <w:t>9/3 (R.22)</w:t>
            </w:r>
          </w:p>
        </w:tc>
        <w:tc>
          <w:tcPr>
            <w:tcW w:w="2084" w:type="dxa"/>
          </w:tcPr>
          <w:p>
            <w:pPr>
              <w:pStyle w:val="TableParagraph"/>
              <w:spacing w:line="250" w:lineRule="exact"/>
              <w:ind w:left="468"/>
              <w:rPr>
                <w:sz w:val="24"/>
              </w:rPr>
            </w:pPr>
            <w:r>
              <w:rPr>
                <w:sz w:val="24"/>
              </w:rPr>
              <w:t>10/3 (R.11)</w:t>
            </w:r>
          </w:p>
        </w:tc>
        <w:tc>
          <w:tcPr>
            <w:tcW w:w="2050" w:type="dxa"/>
          </w:tcPr>
          <w:p>
            <w:pPr>
              <w:pStyle w:val="TableParagraph"/>
              <w:spacing w:line="250" w:lineRule="exact"/>
              <w:ind w:left="349" w:right="416"/>
              <w:jc w:val="center"/>
              <w:rPr>
                <w:sz w:val="24"/>
              </w:rPr>
            </w:pPr>
            <w:r>
              <w:rPr>
                <w:sz w:val="24"/>
              </w:rPr>
              <w:t>11/3 (R.11)</w:t>
            </w:r>
          </w:p>
        </w:tc>
        <w:tc>
          <w:tcPr>
            <w:tcW w:w="2052" w:type="dxa"/>
          </w:tcPr>
          <w:p>
            <w:pPr>
              <w:pStyle w:val="TableParagraph"/>
              <w:spacing w:line="250" w:lineRule="exact"/>
              <w:ind w:left="433"/>
              <w:rPr>
                <w:sz w:val="24"/>
              </w:rPr>
            </w:pPr>
            <w:r>
              <w:rPr>
                <w:sz w:val="24"/>
              </w:rPr>
              <w:t>12/3 (R.6)</w:t>
            </w:r>
          </w:p>
        </w:tc>
        <w:tc>
          <w:tcPr>
            <w:tcW w:w="1693" w:type="dxa"/>
          </w:tcPr>
          <w:p>
            <w:pPr>
              <w:pStyle w:val="TableParagraph"/>
              <w:ind w:left="0"/>
              <w:rPr>
                <w:sz w:val="18"/>
              </w:rPr>
            </w:pPr>
          </w:p>
        </w:tc>
      </w:tr>
    </w:tbl>
    <w:p>
      <w:pPr>
        <w:pStyle w:val="BodyText"/>
        <w:rPr>
          <w:sz w:val="26"/>
        </w:rPr>
      </w:pPr>
    </w:p>
    <w:p>
      <w:pPr>
        <w:pStyle w:val="BodyText"/>
        <w:rPr>
          <w:sz w:val="26"/>
        </w:rPr>
      </w:pPr>
    </w:p>
    <w:p>
      <w:pPr>
        <w:pStyle w:val="BodyText"/>
        <w:spacing w:line="237" w:lineRule="auto" w:before="232"/>
        <w:ind w:left="1147" w:right="712"/>
      </w:pPr>
      <w:r>
        <w:rPr/>
        <w:t>These Tariff Working Pages will be issued in the week commencing 6 March 2017 and published on the Department’s website before the commencement of the new duty rates.</w:t>
      </w:r>
    </w:p>
    <w:p>
      <w:pPr>
        <w:pStyle w:val="BodyText"/>
        <w:spacing w:before="1"/>
      </w:pPr>
    </w:p>
    <w:p>
      <w:pPr>
        <w:pStyle w:val="BodyText"/>
        <w:ind w:left="1147"/>
      </w:pPr>
      <w:r>
        <w:rPr/>
        <w:t>Excise Tariff Working Pages are available from the Australian Taxation Office</w:t>
      </w:r>
    </w:p>
    <w:p>
      <w:pPr>
        <w:pStyle w:val="BodyText"/>
        <w:spacing w:before="2"/>
        <w:ind w:left="1147"/>
      </w:pPr>
      <w:r>
        <w:rPr/>
        <w:t>webpage.</w:t>
      </w:r>
      <w:r>
        <w:rPr>
          <w:spacing w:val="58"/>
        </w:rPr>
        <w:t> </w:t>
      </w:r>
      <w:r>
        <w:rPr>
          <w:color w:val="0000FF"/>
          <w:u w:val="single" w:color="0000FF"/>
        </w:rPr>
        <w:t>http://law.ato.gov.au/atolaw/view.htm?Docid=PAC/BL030002/1&amp;PiT=99991231235958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5" w:lineRule="exact" w:before="231"/>
        <w:ind w:left="1147"/>
      </w:pPr>
      <w:r>
        <w:rPr/>
        <w:t>(signed)</w:t>
      </w:r>
    </w:p>
    <w:p>
      <w:pPr>
        <w:pStyle w:val="BodyText"/>
        <w:spacing w:line="242" w:lineRule="auto"/>
        <w:ind w:left="1147" w:right="8896"/>
      </w:pPr>
      <w:r>
        <w:rPr/>
        <w:t>Andrew Chandler Assistant Secretary</w:t>
      </w:r>
    </w:p>
    <w:p>
      <w:pPr>
        <w:pStyle w:val="BodyText"/>
        <w:spacing w:line="242" w:lineRule="auto"/>
        <w:ind w:left="1209" w:right="6077" w:hanging="63"/>
      </w:pPr>
      <w:r>
        <w:rPr/>
        <w:t>Traveller, Customs and Industry Policy Division 23 February 2017</w:t>
      </w:r>
    </w:p>
    <w:p>
      <w:pPr>
        <w:spacing w:after="0" w:line="242" w:lineRule="auto"/>
        <w:sectPr>
          <w:headerReference w:type="default" r:id="rId6"/>
          <w:pgSz w:w="11910" w:h="16840"/>
          <w:pgMar w:header="708" w:footer="0" w:top="920" w:bottom="280" w:left="0" w:right="0"/>
          <w:pgNumType w:start="2"/>
        </w:sectPr>
      </w:pPr>
    </w:p>
    <w:p>
      <w:pPr>
        <w:pStyle w:val="BodyText"/>
        <w:spacing w:before="5"/>
        <w:rPr>
          <w:sz w:val="16"/>
        </w:rPr>
      </w:pPr>
    </w:p>
    <w:p>
      <w:pPr>
        <w:spacing w:line="242" w:lineRule="auto" w:before="90"/>
        <w:ind w:left="2419" w:right="1721" w:hanging="1272"/>
        <w:jc w:val="left"/>
        <w:rPr>
          <w:b/>
          <w:sz w:val="24"/>
        </w:rPr>
      </w:pPr>
      <w:r>
        <w:rPr>
          <w:b/>
          <w:sz w:val="24"/>
        </w:rPr>
        <w:t>TABLE 1: </w:t>
      </w:r>
      <w:r>
        <w:rPr>
          <w:rFonts w:ascii="TimesNewRomanPS-BoldItalicMT"/>
          <w:b/>
          <w:i/>
          <w:sz w:val="24"/>
        </w:rPr>
        <w:t>CUSTOMS TARIFF ACT 1995 </w:t>
      </w:r>
      <w:r>
        <w:rPr>
          <w:b/>
          <w:sz w:val="24"/>
        </w:rPr>
        <w:t>- TARIFF SUBHEADINGS AFFECTED BY 1 MARCH 2017 AWOTE INDEXATION</w:t>
      </w:r>
    </w:p>
    <w:p>
      <w:pPr>
        <w:pStyle w:val="BodyText"/>
        <w:rPr>
          <w:b/>
        </w:rPr>
      </w:pPr>
    </w:p>
    <w:tbl>
      <w:tblPr>
        <w:tblW w:w="0" w:type="auto"/>
        <w:jc w:val="left"/>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4"/>
        <w:gridCol w:w="2155"/>
        <w:gridCol w:w="5721"/>
      </w:tblGrid>
      <w:tr>
        <w:trPr>
          <w:trHeight w:val="1094" w:hRule="atLeast"/>
        </w:trPr>
        <w:tc>
          <w:tcPr>
            <w:tcW w:w="3739" w:type="dxa"/>
            <w:gridSpan w:val="2"/>
          </w:tcPr>
          <w:p>
            <w:pPr>
              <w:pStyle w:val="TableParagraph"/>
              <w:spacing w:before="25"/>
              <w:rPr>
                <w:b/>
                <w:sz w:val="24"/>
              </w:rPr>
            </w:pPr>
            <w:r>
              <w:rPr>
                <w:b/>
                <w:sz w:val="24"/>
                <w:u w:val="thick"/>
              </w:rPr>
              <w:t>Customs Tariff Subheading</w:t>
            </w:r>
          </w:p>
        </w:tc>
        <w:tc>
          <w:tcPr>
            <w:tcW w:w="5721" w:type="dxa"/>
          </w:tcPr>
          <w:p>
            <w:pPr>
              <w:pStyle w:val="TableParagraph"/>
              <w:spacing w:line="237" w:lineRule="auto" w:before="27"/>
              <w:ind w:left="110" w:right="127"/>
              <w:rPr>
                <w:b/>
                <w:sz w:val="24"/>
              </w:rPr>
            </w:pPr>
            <w:r>
              <w:rPr>
                <w:b/>
                <w:sz w:val="24"/>
                <w:u w:val="thick"/>
              </w:rPr>
              <w:t>New Customs Duty Rate on Excise-Equivalent Goods</w:t>
            </w:r>
            <w:r>
              <w:rPr>
                <w:b/>
                <w:sz w:val="24"/>
              </w:rPr>
              <w:t> </w:t>
            </w:r>
            <w:r>
              <w:rPr>
                <w:b/>
                <w:sz w:val="24"/>
                <w:u w:val="thick"/>
              </w:rPr>
              <w:t>operative from 1 March 2017</w:t>
            </w:r>
          </w:p>
        </w:tc>
      </w:tr>
      <w:tr>
        <w:trPr>
          <w:trHeight w:val="426" w:hRule="atLeast"/>
        </w:trPr>
        <w:tc>
          <w:tcPr>
            <w:tcW w:w="3739" w:type="dxa"/>
            <w:gridSpan w:val="2"/>
          </w:tcPr>
          <w:p>
            <w:pPr>
              <w:pStyle w:val="TableParagraph"/>
              <w:spacing w:before="25"/>
              <w:rPr>
                <w:sz w:val="24"/>
              </w:rPr>
            </w:pPr>
            <w:r>
              <w:rPr>
                <w:sz w:val="24"/>
              </w:rPr>
              <w:t>2401.10.00</w:t>
            </w:r>
          </w:p>
        </w:tc>
        <w:tc>
          <w:tcPr>
            <w:tcW w:w="5721" w:type="dxa"/>
          </w:tcPr>
          <w:p>
            <w:pPr>
              <w:pStyle w:val="TableParagraph"/>
              <w:spacing w:before="25"/>
              <w:ind w:left="110"/>
              <w:rPr>
                <w:sz w:val="24"/>
              </w:rPr>
            </w:pPr>
            <w:r>
              <w:rPr>
                <w:sz w:val="24"/>
              </w:rPr>
              <w:t>$771.60/kg</w:t>
            </w:r>
          </w:p>
        </w:tc>
      </w:tr>
      <w:tr>
        <w:trPr>
          <w:trHeight w:val="372" w:hRule="atLeast"/>
        </w:trPr>
        <w:tc>
          <w:tcPr>
            <w:tcW w:w="1584" w:type="dxa"/>
            <w:tcBorders>
              <w:bottom w:val="nil"/>
              <w:right w:val="nil"/>
            </w:tcBorders>
          </w:tcPr>
          <w:p>
            <w:pPr>
              <w:pStyle w:val="TableParagraph"/>
              <w:spacing w:before="20"/>
              <w:rPr>
                <w:sz w:val="24"/>
              </w:rPr>
            </w:pPr>
            <w:r>
              <w:rPr>
                <w:sz w:val="24"/>
              </w:rPr>
              <w:t>2401.20.00</w:t>
            </w:r>
          </w:p>
        </w:tc>
        <w:tc>
          <w:tcPr>
            <w:tcW w:w="2155" w:type="dxa"/>
            <w:tcBorders>
              <w:left w:val="nil"/>
              <w:bottom w:val="nil"/>
            </w:tcBorders>
          </w:tcPr>
          <w:p>
            <w:pPr>
              <w:pStyle w:val="TableParagraph"/>
              <w:spacing w:before="20"/>
              <w:ind w:left="398"/>
              <w:rPr>
                <w:sz w:val="24"/>
              </w:rPr>
            </w:pPr>
            <w:r>
              <w:rPr>
                <w:sz w:val="24"/>
              </w:rPr>
              <w:t>2403.11.00</w:t>
            </w:r>
          </w:p>
        </w:tc>
        <w:tc>
          <w:tcPr>
            <w:tcW w:w="5721" w:type="dxa"/>
            <w:vMerge w:val="restart"/>
          </w:tcPr>
          <w:p>
            <w:pPr>
              <w:pStyle w:val="TableParagraph"/>
              <w:spacing w:before="20"/>
              <w:ind w:left="110"/>
              <w:rPr>
                <w:sz w:val="24"/>
              </w:rPr>
            </w:pPr>
            <w:r>
              <w:rPr>
                <w:sz w:val="24"/>
              </w:rPr>
              <w:t>$771.60/kg of tobacco content</w:t>
            </w:r>
          </w:p>
        </w:tc>
      </w:tr>
      <w:tr>
        <w:trPr>
          <w:trHeight w:val="417" w:hRule="atLeast"/>
        </w:trPr>
        <w:tc>
          <w:tcPr>
            <w:tcW w:w="1584" w:type="dxa"/>
            <w:tcBorders>
              <w:top w:val="nil"/>
              <w:bottom w:val="nil"/>
              <w:right w:val="nil"/>
            </w:tcBorders>
          </w:tcPr>
          <w:p>
            <w:pPr>
              <w:pStyle w:val="TableParagraph"/>
              <w:spacing w:before="65"/>
              <w:rPr>
                <w:sz w:val="24"/>
              </w:rPr>
            </w:pPr>
            <w:r>
              <w:rPr>
                <w:sz w:val="24"/>
              </w:rPr>
              <w:t>2401.30.00</w:t>
            </w:r>
          </w:p>
        </w:tc>
        <w:tc>
          <w:tcPr>
            <w:tcW w:w="2155" w:type="dxa"/>
            <w:tcBorders>
              <w:top w:val="nil"/>
              <w:left w:val="nil"/>
              <w:bottom w:val="nil"/>
            </w:tcBorders>
          </w:tcPr>
          <w:p>
            <w:pPr>
              <w:pStyle w:val="TableParagraph"/>
              <w:spacing w:before="65"/>
              <w:ind w:left="398"/>
              <w:rPr>
                <w:sz w:val="24"/>
              </w:rPr>
            </w:pPr>
            <w:r>
              <w:rPr>
                <w:sz w:val="24"/>
              </w:rPr>
              <w:t>2403.19.90</w:t>
            </w:r>
          </w:p>
        </w:tc>
        <w:tc>
          <w:tcPr>
            <w:tcW w:w="5721" w:type="dxa"/>
            <w:vMerge/>
            <w:tcBorders>
              <w:top w:val="nil"/>
            </w:tcBorders>
          </w:tcPr>
          <w:p>
            <w:pPr>
              <w:rPr>
                <w:sz w:val="2"/>
                <w:szCs w:val="2"/>
              </w:rPr>
            </w:pPr>
          </w:p>
        </w:tc>
      </w:tr>
      <w:tr>
        <w:trPr>
          <w:trHeight w:val="417" w:hRule="atLeast"/>
        </w:trPr>
        <w:tc>
          <w:tcPr>
            <w:tcW w:w="1584" w:type="dxa"/>
            <w:tcBorders>
              <w:top w:val="nil"/>
              <w:bottom w:val="nil"/>
              <w:right w:val="nil"/>
            </w:tcBorders>
          </w:tcPr>
          <w:p>
            <w:pPr>
              <w:pStyle w:val="TableParagraph"/>
              <w:spacing w:before="65"/>
              <w:rPr>
                <w:sz w:val="24"/>
              </w:rPr>
            </w:pPr>
            <w:r>
              <w:rPr>
                <w:sz w:val="24"/>
              </w:rPr>
              <w:t>2402.10.80</w:t>
            </w:r>
          </w:p>
        </w:tc>
        <w:tc>
          <w:tcPr>
            <w:tcW w:w="2155" w:type="dxa"/>
            <w:tcBorders>
              <w:top w:val="nil"/>
              <w:left w:val="nil"/>
              <w:bottom w:val="nil"/>
            </w:tcBorders>
          </w:tcPr>
          <w:p>
            <w:pPr>
              <w:pStyle w:val="TableParagraph"/>
              <w:spacing w:before="65"/>
              <w:ind w:left="398"/>
              <w:rPr>
                <w:sz w:val="24"/>
              </w:rPr>
            </w:pPr>
            <w:r>
              <w:rPr>
                <w:sz w:val="24"/>
              </w:rPr>
              <w:t>2403.91.00</w:t>
            </w:r>
          </w:p>
        </w:tc>
        <w:tc>
          <w:tcPr>
            <w:tcW w:w="5721" w:type="dxa"/>
            <w:vMerge/>
            <w:tcBorders>
              <w:top w:val="nil"/>
            </w:tcBorders>
          </w:tcPr>
          <w:p>
            <w:pPr>
              <w:rPr>
                <w:sz w:val="2"/>
                <w:szCs w:val="2"/>
              </w:rPr>
            </w:pPr>
          </w:p>
        </w:tc>
      </w:tr>
      <w:tr>
        <w:trPr>
          <w:trHeight w:val="466" w:hRule="atLeast"/>
        </w:trPr>
        <w:tc>
          <w:tcPr>
            <w:tcW w:w="1584" w:type="dxa"/>
            <w:tcBorders>
              <w:top w:val="nil"/>
              <w:right w:val="nil"/>
            </w:tcBorders>
          </w:tcPr>
          <w:p>
            <w:pPr>
              <w:pStyle w:val="TableParagraph"/>
              <w:spacing w:before="65"/>
              <w:rPr>
                <w:sz w:val="24"/>
              </w:rPr>
            </w:pPr>
            <w:r>
              <w:rPr>
                <w:sz w:val="24"/>
              </w:rPr>
              <w:t>2402.20.80</w:t>
            </w:r>
          </w:p>
        </w:tc>
        <w:tc>
          <w:tcPr>
            <w:tcW w:w="2155" w:type="dxa"/>
            <w:tcBorders>
              <w:top w:val="nil"/>
              <w:left w:val="nil"/>
            </w:tcBorders>
          </w:tcPr>
          <w:p>
            <w:pPr>
              <w:pStyle w:val="TableParagraph"/>
              <w:spacing w:before="65"/>
              <w:ind w:left="398"/>
              <w:rPr>
                <w:sz w:val="24"/>
              </w:rPr>
            </w:pPr>
            <w:r>
              <w:rPr>
                <w:sz w:val="24"/>
              </w:rPr>
              <w:t>2403.99.80</w:t>
            </w:r>
          </w:p>
        </w:tc>
        <w:tc>
          <w:tcPr>
            <w:tcW w:w="5721" w:type="dxa"/>
            <w:vMerge/>
            <w:tcBorders>
              <w:top w:val="nil"/>
            </w:tcBorders>
          </w:tcPr>
          <w:p>
            <w:pPr>
              <w:rPr>
                <w:sz w:val="2"/>
                <w:szCs w:val="2"/>
              </w:rPr>
            </w:pPr>
          </w:p>
        </w:tc>
      </w:tr>
      <w:tr>
        <w:trPr>
          <w:trHeight w:val="372" w:hRule="atLeast"/>
        </w:trPr>
        <w:tc>
          <w:tcPr>
            <w:tcW w:w="1584" w:type="dxa"/>
            <w:tcBorders>
              <w:bottom w:val="nil"/>
              <w:right w:val="nil"/>
            </w:tcBorders>
          </w:tcPr>
          <w:p>
            <w:pPr>
              <w:pStyle w:val="TableParagraph"/>
              <w:spacing w:before="20"/>
              <w:rPr>
                <w:sz w:val="24"/>
              </w:rPr>
            </w:pPr>
            <w:r>
              <w:rPr>
                <w:sz w:val="24"/>
              </w:rPr>
              <w:t>2402.10.20</w:t>
            </w:r>
          </w:p>
        </w:tc>
        <w:tc>
          <w:tcPr>
            <w:tcW w:w="2155" w:type="dxa"/>
            <w:tcBorders>
              <w:left w:val="nil"/>
              <w:bottom w:val="nil"/>
            </w:tcBorders>
          </w:tcPr>
          <w:p>
            <w:pPr>
              <w:pStyle w:val="TableParagraph"/>
              <w:spacing w:before="20"/>
              <w:ind w:left="398"/>
              <w:rPr>
                <w:sz w:val="24"/>
              </w:rPr>
            </w:pPr>
            <w:r>
              <w:rPr>
                <w:sz w:val="24"/>
              </w:rPr>
              <w:t>2403.19.10</w:t>
            </w:r>
          </w:p>
        </w:tc>
        <w:tc>
          <w:tcPr>
            <w:tcW w:w="5721" w:type="dxa"/>
            <w:vMerge w:val="restart"/>
          </w:tcPr>
          <w:p>
            <w:pPr>
              <w:pStyle w:val="TableParagraph"/>
              <w:spacing w:before="20"/>
              <w:ind w:left="110"/>
              <w:rPr>
                <w:sz w:val="24"/>
              </w:rPr>
            </w:pPr>
            <w:r>
              <w:rPr>
                <w:sz w:val="24"/>
              </w:rPr>
              <w:t>$0.61726/stick</w:t>
            </w:r>
          </w:p>
        </w:tc>
      </w:tr>
      <w:tr>
        <w:trPr>
          <w:trHeight w:val="471" w:hRule="atLeast"/>
        </w:trPr>
        <w:tc>
          <w:tcPr>
            <w:tcW w:w="1584" w:type="dxa"/>
            <w:tcBorders>
              <w:top w:val="nil"/>
              <w:right w:val="nil"/>
            </w:tcBorders>
          </w:tcPr>
          <w:p>
            <w:pPr>
              <w:pStyle w:val="TableParagraph"/>
              <w:spacing w:before="65"/>
              <w:rPr>
                <w:sz w:val="24"/>
              </w:rPr>
            </w:pPr>
            <w:r>
              <w:rPr>
                <w:sz w:val="24"/>
              </w:rPr>
              <w:t>2402.20.20</w:t>
            </w:r>
          </w:p>
        </w:tc>
        <w:tc>
          <w:tcPr>
            <w:tcW w:w="2155" w:type="dxa"/>
            <w:tcBorders>
              <w:top w:val="nil"/>
              <w:left w:val="nil"/>
            </w:tcBorders>
          </w:tcPr>
          <w:p>
            <w:pPr>
              <w:pStyle w:val="TableParagraph"/>
              <w:ind w:left="0"/>
              <w:rPr>
                <w:sz w:val="22"/>
              </w:rPr>
            </w:pPr>
          </w:p>
        </w:tc>
        <w:tc>
          <w:tcPr>
            <w:tcW w:w="5721" w:type="dxa"/>
            <w:vMerge/>
            <w:tcBorders>
              <w:top w:val="nil"/>
            </w:tcBorders>
          </w:tcPr>
          <w:p>
            <w:pPr>
              <w:rPr>
                <w:sz w:val="2"/>
                <w:szCs w:val="2"/>
              </w:rPr>
            </w:pPr>
          </w:p>
        </w:tc>
      </w:tr>
    </w:tbl>
    <w:p>
      <w:pPr>
        <w:pStyle w:val="BodyText"/>
        <w:rPr>
          <w:b/>
          <w:sz w:val="26"/>
        </w:rPr>
      </w:pPr>
    </w:p>
    <w:p>
      <w:pPr>
        <w:pStyle w:val="BodyText"/>
        <w:rPr>
          <w:b/>
          <w:sz w:val="26"/>
        </w:rPr>
      </w:pPr>
    </w:p>
    <w:p>
      <w:pPr>
        <w:tabs>
          <w:tab w:pos="2467" w:val="left" w:leader="none"/>
        </w:tabs>
        <w:spacing w:line="242" w:lineRule="auto" w:before="224"/>
        <w:ind w:left="2404" w:right="2893" w:hanging="1258"/>
        <w:jc w:val="left"/>
        <w:rPr>
          <w:b/>
          <w:sz w:val="24"/>
        </w:rPr>
      </w:pPr>
      <w:r>
        <w:rPr>
          <w:b/>
          <w:sz w:val="24"/>
        </w:rPr>
        <w:t>TABLE</w:t>
      </w:r>
      <w:r>
        <w:rPr>
          <w:b/>
          <w:spacing w:val="-1"/>
          <w:sz w:val="24"/>
        </w:rPr>
        <w:t> </w:t>
      </w:r>
      <w:r>
        <w:rPr>
          <w:b/>
          <w:sz w:val="24"/>
        </w:rPr>
        <w:t>2:</w:t>
        <w:tab/>
        <w:tab/>
      </w:r>
      <w:r>
        <w:rPr>
          <w:rFonts w:ascii="TimesNewRomanPS-BoldItalicMT"/>
          <w:b/>
          <w:i/>
          <w:sz w:val="24"/>
        </w:rPr>
        <w:t>EXCISE TARIFF ACT 1921 </w:t>
      </w:r>
      <w:r>
        <w:rPr>
          <w:b/>
          <w:sz w:val="24"/>
        </w:rPr>
        <w:t>- EXCISE ITEMS AFFECTED</w:t>
      </w:r>
      <w:r>
        <w:rPr>
          <w:b/>
          <w:spacing w:val="-22"/>
          <w:sz w:val="24"/>
        </w:rPr>
        <w:t> </w:t>
      </w:r>
      <w:r>
        <w:rPr>
          <w:b/>
          <w:sz w:val="24"/>
        </w:rPr>
        <w:t>BY 1 MARCH 2016 AWOTE</w:t>
      </w:r>
      <w:r>
        <w:rPr>
          <w:b/>
          <w:spacing w:val="-5"/>
          <w:sz w:val="24"/>
        </w:rPr>
        <w:t> </w:t>
      </w:r>
      <w:r>
        <w:rPr>
          <w:b/>
          <w:sz w:val="24"/>
        </w:rPr>
        <w:t>INDEXATION</w:t>
      </w:r>
    </w:p>
    <w:p>
      <w:pPr>
        <w:pStyle w:val="BodyText"/>
        <w:rPr>
          <w:b/>
        </w:rPr>
      </w:pPr>
    </w:p>
    <w:tbl>
      <w:tblPr>
        <w:tblW w:w="0" w:type="auto"/>
        <w:jc w:val="left"/>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2"/>
        <w:gridCol w:w="5780"/>
      </w:tblGrid>
      <w:tr>
        <w:trPr>
          <w:trHeight w:val="1036" w:hRule="atLeast"/>
        </w:trPr>
        <w:tc>
          <w:tcPr>
            <w:tcW w:w="3682" w:type="dxa"/>
          </w:tcPr>
          <w:p>
            <w:pPr>
              <w:pStyle w:val="TableParagraph"/>
              <w:spacing w:line="273" w:lineRule="exact"/>
              <w:rPr>
                <w:b/>
                <w:sz w:val="24"/>
              </w:rPr>
            </w:pPr>
            <w:r>
              <w:rPr>
                <w:b/>
                <w:sz w:val="24"/>
                <w:u w:val="thick"/>
              </w:rPr>
              <w:t>Excise Tariff Item / Sub-item</w:t>
            </w:r>
          </w:p>
        </w:tc>
        <w:tc>
          <w:tcPr>
            <w:tcW w:w="5780" w:type="dxa"/>
          </w:tcPr>
          <w:p>
            <w:pPr>
              <w:pStyle w:val="TableParagraph"/>
              <w:spacing w:line="242" w:lineRule="auto"/>
              <w:ind w:left="109" w:right="495"/>
              <w:rPr>
                <w:b/>
                <w:sz w:val="24"/>
              </w:rPr>
            </w:pPr>
            <w:r>
              <w:rPr>
                <w:b/>
                <w:sz w:val="24"/>
                <w:u w:val="thick"/>
              </w:rPr>
              <w:t>New Rates of Excise Duty operative from 1 March</w:t>
            </w:r>
            <w:r>
              <w:rPr>
                <w:b/>
                <w:sz w:val="24"/>
              </w:rPr>
              <w:t> </w:t>
            </w:r>
            <w:r>
              <w:rPr>
                <w:b/>
                <w:sz w:val="24"/>
                <w:u w:val="thick"/>
              </w:rPr>
              <w:t>2017</w:t>
            </w:r>
          </w:p>
        </w:tc>
      </w:tr>
      <w:tr>
        <w:trPr>
          <w:trHeight w:val="278" w:hRule="atLeast"/>
        </w:trPr>
        <w:tc>
          <w:tcPr>
            <w:tcW w:w="3682" w:type="dxa"/>
          </w:tcPr>
          <w:p>
            <w:pPr>
              <w:pStyle w:val="TableParagraph"/>
              <w:spacing w:line="257" w:lineRule="exact" w:before="1"/>
              <w:rPr>
                <w:b/>
                <w:sz w:val="24"/>
              </w:rPr>
            </w:pPr>
            <w:r>
              <w:rPr>
                <w:b/>
                <w:sz w:val="24"/>
              </w:rPr>
              <w:t>5</w:t>
            </w:r>
          </w:p>
        </w:tc>
        <w:tc>
          <w:tcPr>
            <w:tcW w:w="5780" w:type="dxa"/>
          </w:tcPr>
          <w:p>
            <w:pPr>
              <w:pStyle w:val="TableParagraph"/>
              <w:spacing w:line="257" w:lineRule="exact" w:before="1"/>
              <w:ind w:left="109"/>
              <w:rPr>
                <w:b/>
                <w:sz w:val="24"/>
              </w:rPr>
            </w:pPr>
            <w:r>
              <w:rPr>
                <w:b/>
                <w:sz w:val="24"/>
              </w:rPr>
              <w:t>Tobacco, cigars, cigarettes and snuff</w:t>
            </w:r>
          </w:p>
        </w:tc>
      </w:tr>
      <w:tr>
        <w:trPr>
          <w:trHeight w:val="277" w:hRule="atLeast"/>
        </w:trPr>
        <w:tc>
          <w:tcPr>
            <w:tcW w:w="3682" w:type="dxa"/>
          </w:tcPr>
          <w:p>
            <w:pPr>
              <w:pStyle w:val="TableParagraph"/>
              <w:spacing w:line="258" w:lineRule="exact"/>
              <w:rPr>
                <w:sz w:val="24"/>
              </w:rPr>
            </w:pPr>
            <w:r>
              <w:rPr>
                <w:sz w:val="24"/>
              </w:rPr>
              <w:t>5.1</w:t>
            </w:r>
          </w:p>
        </w:tc>
        <w:tc>
          <w:tcPr>
            <w:tcW w:w="5780" w:type="dxa"/>
          </w:tcPr>
          <w:p>
            <w:pPr>
              <w:pStyle w:val="TableParagraph"/>
              <w:spacing w:line="258" w:lineRule="exact"/>
              <w:ind w:left="109"/>
              <w:rPr>
                <w:sz w:val="24"/>
              </w:rPr>
            </w:pPr>
            <w:r>
              <w:rPr>
                <w:sz w:val="24"/>
              </w:rPr>
              <w:t>$0.61726 per stick</w:t>
            </w:r>
          </w:p>
        </w:tc>
      </w:tr>
      <w:tr>
        <w:trPr>
          <w:trHeight w:val="273" w:hRule="atLeast"/>
        </w:trPr>
        <w:tc>
          <w:tcPr>
            <w:tcW w:w="3682" w:type="dxa"/>
          </w:tcPr>
          <w:p>
            <w:pPr>
              <w:pStyle w:val="TableParagraph"/>
              <w:spacing w:line="253" w:lineRule="exact"/>
              <w:rPr>
                <w:sz w:val="24"/>
              </w:rPr>
            </w:pPr>
            <w:r>
              <w:rPr>
                <w:sz w:val="24"/>
              </w:rPr>
              <w:t>5.5</w:t>
            </w:r>
          </w:p>
        </w:tc>
        <w:tc>
          <w:tcPr>
            <w:tcW w:w="5780" w:type="dxa"/>
          </w:tcPr>
          <w:p>
            <w:pPr>
              <w:pStyle w:val="TableParagraph"/>
              <w:spacing w:line="253" w:lineRule="exact"/>
              <w:ind w:left="109"/>
              <w:rPr>
                <w:sz w:val="24"/>
              </w:rPr>
            </w:pPr>
            <w:r>
              <w:rPr>
                <w:sz w:val="24"/>
              </w:rPr>
              <w:t>$771.60 per kilogram of tobacco content</w:t>
            </w:r>
          </w:p>
        </w:tc>
      </w:tr>
    </w:tbl>
    <w:sectPr>
      <w:pgSz w:w="11910" w:h="16840"/>
      <w:pgMar w:header="708"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TimesNewRomanPS-BoldItalicMT">
    <w:altName w:val="TimesNewRomanPS-BoldItalicM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200012pt;margin-top:34.417561pt;width:21.8pt;height:13.2pt;mso-position-horizontal-relative:page;mso-position-vertical-relative:page;z-index:-15875072" type="#_x0000_t202" filled="false" stroked="false">
          <v:textbox inset="0,0,0,0">
            <w:txbxContent>
              <w:p>
                <w:pPr>
                  <w:spacing w:before="13"/>
                  <w:ind w:left="20" w:right="0" w:firstLine="0"/>
                  <w:jc w:val="left"/>
                  <w:rPr>
                    <w:sz w:val="20"/>
                  </w:rPr>
                </w:pPr>
                <w:r>
                  <w:rPr>
                    <w:sz w:val="20"/>
                  </w:rPr>
                  <w:t>- </w:t>
                </w:r>
                <w:r>
                  <w:rPr/>
                  <w:fldChar w:fldCharType="begin"/>
                </w:r>
                <w:r>
                  <w:rPr>
                    <w:sz w:val="20"/>
                  </w:rPr>
                  <w:instrText> PAGE </w:instrText>
                </w:r>
                <w:r>
                  <w:rPr/>
                  <w:fldChar w:fldCharType="separate"/>
                </w:r>
                <w:r>
                  <w:rPr/>
                  <w:t>2</w:t>
                </w:r>
                <w:r>
                  <w:rPr/>
                  <w:fldChar w:fldCharType="end"/>
                </w:r>
                <w:r>
                  <w:rPr>
                    <w:sz w:val="20"/>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67" w:hanging="360"/>
      </w:pPr>
      <w:rPr>
        <w:rFonts w:hint="default" w:ascii="Arial" w:hAnsi="Arial" w:eastAsia="Arial" w:cs="Arial"/>
        <w:w w:val="131"/>
        <w:sz w:val="24"/>
        <w:szCs w:val="24"/>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0"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90"/>
      <w:ind w:left="5232" w:right="959" w:hanging="3994"/>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16"/>
      <w:ind w:left="1867"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AWOTE, Tobacco, Excise, Customs duty, rates, March, Department of Immigration and Border Protection Notice No.2017/05</cp:keywords>
  <dc:subject>Department of Immigration and Border Protection Notice No.2017/05</dc:subject>
  <dc:title>Department of Immigration and Border Protection Notice No.2017/05</dc:title>
  <dcterms:created xsi:type="dcterms:W3CDTF">2020-12-09T22:47:51Z</dcterms:created>
  <dcterms:modified xsi:type="dcterms:W3CDTF">2020-12-09T22:47:51Z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2017-02-24T00:00:00Z</vt:filetime>
  </property>
  <property fmtid="{D5CDD505-2E9C-101B-9397-08002B2CF9AE}" pid="3" name="Creator">
    <vt:lpwstr>Acrobat PDFMaker 10.0 for Word</vt:lpwstr>
  </property>
  <property fmtid="{D5CDD505-2E9C-101B-9397-08002B2CF9AE}" pid="4" name="LastSaved">
    <vt:filetime>2020-12-09T00:00:00Z</vt:filetime>
  </property>
</Properties>
</file>