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Title"/>
        <w:spacing w:before="201"/>
        <w:ind w:left="3377" w:right="2931"/>
        <w:jc w:val="cente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t>No. 2017/10</w:t>
      </w:r>
    </w:p>
    <w:p>
      <w:pPr>
        <w:pStyle w:val="BodyText"/>
        <w:rPr>
          <w:b/>
          <w:sz w:val="13"/>
        </w:rPr>
      </w:pPr>
    </w:p>
    <w:p>
      <w:pPr>
        <w:spacing w:before="91"/>
        <w:ind w:left="3377" w:right="3377" w:firstLine="0"/>
        <w:jc w:val="center"/>
        <w:rPr>
          <w:b/>
          <w:sz w:val="26"/>
        </w:rPr>
      </w:pPr>
      <w:r>
        <w:rPr>
          <w:b/>
          <w:sz w:val="26"/>
        </w:rPr>
        <w:t>Applications for Customs Broker Licence</w:t>
      </w:r>
    </w:p>
    <w:p>
      <w:pPr>
        <w:pStyle w:val="BodyText"/>
        <w:spacing w:before="9"/>
        <w:rPr>
          <w:b/>
          <w:sz w:val="24"/>
        </w:rPr>
      </w:pPr>
    </w:p>
    <w:p>
      <w:pPr>
        <w:pStyle w:val="BodyText"/>
        <w:ind w:left="720"/>
      </w:pPr>
      <w:r>
        <w:rPr/>
        <w:t>The following individuals and companies have applied to the Comptroller-General of Customs for a customs broker licence.</w:t>
      </w:r>
    </w:p>
    <w:p>
      <w:pPr>
        <w:pStyle w:val="BodyText"/>
        <w:spacing w:before="4" w:after="1"/>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4468"/>
        <w:gridCol w:w="4108"/>
      </w:tblGrid>
      <w:tr>
        <w:trPr>
          <w:trHeight w:val="217" w:hRule="atLeast"/>
        </w:trPr>
        <w:tc>
          <w:tcPr>
            <w:tcW w:w="2254" w:type="dxa"/>
          </w:tcPr>
          <w:p>
            <w:pPr>
              <w:pStyle w:val="TableParagraph"/>
              <w:spacing w:line="198" w:lineRule="exact"/>
              <w:ind w:left="50"/>
              <w:rPr>
                <w:b/>
                <w:sz w:val="19"/>
              </w:rPr>
            </w:pPr>
            <w:r>
              <w:rPr>
                <w:b/>
                <w:sz w:val="19"/>
                <w:u w:val="single"/>
              </w:rPr>
              <w:t>INDIVIDUALS</w:t>
            </w:r>
          </w:p>
        </w:tc>
        <w:tc>
          <w:tcPr>
            <w:tcW w:w="4468" w:type="dxa"/>
          </w:tcPr>
          <w:p>
            <w:pPr>
              <w:pStyle w:val="TableParagraph"/>
              <w:spacing w:line="198" w:lineRule="exact"/>
              <w:ind w:left="643"/>
              <w:rPr>
                <w:b/>
                <w:sz w:val="19"/>
              </w:rPr>
            </w:pPr>
            <w:r>
              <w:rPr>
                <w:b/>
                <w:sz w:val="19"/>
                <w:u w:val="single"/>
              </w:rPr>
              <w:t>COMPANY</w:t>
            </w:r>
          </w:p>
        </w:tc>
        <w:tc>
          <w:tcPr>
            <w:tcW w:w="4108" w:type="dxa"/>
          </w:tcPr>
          <w:p>
            <w:pPr>
              <w:pStyle w:val="TableParagraph"/>
              <w:spacing w:line="198" w:lineRule="exact"/>
              <w:ind w:left="266"/>
              <w:rPr>
                <w:b/>
                <w:sz w:val="19"/>
              </w:rPr>
            </w:pPr>
            <w:r>
              <w:rPr>
                <w:b/>
                <w:sz w:val="19"/>
                <w:u w:val="single"/>
              </w:rPr>
              <w:t>COMPANY</w:t>
            </w:r>
          </w:p>
        </w:tc>
      </w:tr>
      <w:tr>
        <w:trPr>
          <w:trHeight w:val="218" w:hRule="atLeast"/>
        </w:trPr>
        <w:tc>
          <w:tcPr>
            <w:tcW w:w="2254" w:type="dxa"/>
          </w:tcPr>
          <w:p>
            <w:pPr>
              <w:pStyle w:val="TableParagraph"/>
              <w:spacing w:line="198" w:lineRule="exact"/>
              <w:ind w:left="50"/>
              <w:rPr>
                <w:sz w:val="19"/>
              </w:rPr>
            </w:pPr>
            <w:r>
              <w:rPr>
                <w:sz w:val="19"/>
              </w:rPr>
              <w:t>Mark Macknamara</w:t>
            </w:r>
          </w:p>
        </w:tc>
        <w:tc>
          <w:tcPr>
            <w:tcW w:w="4468" w:type="dxa"/>
          </w:tcPr>
          <w:p>
            <w:pPr>
              <w:pStyle w:val="TableParagraph"/>
              <w:spacing w:line="198" w:lineRule="exact"/>
              <w:ind w:left="638"/>
              <w:rPr>
                <w:sz w:val="19"/>
              </w:rPr>
            </w:pPr>
            <w:r>
              <w:rPr>
                <w:sz w:val="19"/>
              </w:rPr>
              <w:t>ASM International Freight Services Pty Ltd</w:t>
            </w:r>
          </w:p>
        </w:tc>
        <w:tc>
          <w:tcPr>
            <w:tcW w:w="4108" w:type="dxa"/>
          </w:tcPr>
          <w:p>
            <w:pPr>
              <w:pStyle w:val="TableParagraph"/>
              <w:spacing w:line="198" w:lineRule="exact"/>
              <w:ind w:left="271"/>
              <w:rPr>
                <w:sz w:val="19"/>
              </w:rPr>
            </w:pPr>
            <w:r>
              <w:rPr>
                <w:sz w:val="19"/>
              </w:rPr>
              <w:t>Affordable Air &amp; Sea Freight Services Pty Ltd</w:t>
            </w:r>
          </w:p>
        </w:tc>
      </w:tr>
      <w:tr>
        <w:trPr>
          <w:trHeight w:val="218" w:hRule="atLeast"/>
        </w:trPr>
        <w:tc>
          <w:tcPr>
            <w:tcW w:w="2254" w:type="dxa"/>
          </w:tcPr>
          <w:p>
            <w:pPr>
              <w:pStyle w:val="TableParagraph"/>
              <w:spacing w:line="199" w:lineRule="exact"/>
              <w:ind w:left="50"/>
              <w:rPr>
                <w:sz w:val="19"/>
              </w:rPr>
            </w:pPr>
            <w:r>
              <w:rPr>
                <w:sz w:val="19"/>
              </w:rPr>
              <w:t>Wai Ying Hui</w:t>
            </w:r>
          </w:p>
        </w:tc>
        <w:tc>
          <w:tcPr>
            <w:tcW w:w="4468" w:type="dxa"/>
          </w:tcPr>
          <w:p>
            <w:pPr>
              <w:pStyle w:val="TableParagraph"/>
              <w:spacing w:line="199" w:lineRule="exact"/>
              <w:ind w:left="633"/>
              <w:rPr>
                <w:sz w:val="19"/>
              </w:rPr>
            </w:pPr>
            <w:r>
              <w:rPr>
                <w:sz w:val="19"/>
              </w:rPr>
              <w:t>ABN 71 069 867 536</w:t>
            </w:r>
          </w:p>
        </w:tc>
        <w:tc>
          <w:tcPr>
            <w:tcW w:w="4108" w:type="dxa"/>
          </w:tcPr>
          <w:p>
            <w:pPr>
              <w:pStyle w:val="TableParagraph"/>
              <w:spacing w:line="199" w:lineRule="exact"/>
              <w:ind w:left="271"/>
              <w:rPr>
                <w:sz w:val="19"/>
              </w:rPr>
            </w:pPr>
            <w:r>
              <w:rPr>
                <w:sz w:val="19"/>
              </w:rPr>
              <w:t>ABN 64 604 192 823</w:t>
            </w:r>
          </w:p>
        </w:tc>
      </w:tr>
      <w:tr>
        <w:trPr>
          <w:trHeight w:val="218" w:hRule="atLeast"/>
        </w:trPr>
        <w:tc>
          <w:tcPr>
            <w:tcW w:w="2254" w:type="dxa"/>
          </w:tcPr>
          <w:p>
            <w:pPr>
              <w:pStyle w:val="TableParagraph"/>
              <w:spacing w:line="199" w:lineRule="exact"/>
              <w:ind w:left="50"/>
              <w:rPr>
                <w:sz w:val="19"/>
              </w:rPr>
            </w:pPr>
            <w:r>
              <w:rPr>
                <w:sz w:val="19"/>
              </w:rPr>
              <w:t>Zakaria El-Foul</w:t>
            </w:r>
          </w:p>
        </w:tc>
        <w:tc>
          <w:tcPr>
            <w:tcW w:w="4468" w:type="dxa"/>
          </w:tcPr>
          <w:p>
            <w:pPr>
              <w:pStyle w:val="TableParagraph"/>
              <w:spacing w:line="199" w:lineRule="exact"/>
              <w:ind w:left="633"/>
              <w:rPr>
                <w:sz w:val="19"/>
              </w:rPr>
            </w:pPr>
            <w:r>
              <w:rPr>
                <w:sz w:val="19"/>
              </w:rPr>
              <w:t>Unit 12/595 Princess Highway</w:t>
            </w:r>
          </w:p>
        </w:tc>
        <w:tc>
          <w:tcPr>
            <w:tcW w:w="4108" w:type="dxa"/>
          </w:tcPr>
          <w:p>
            <w:pPr>
              <w:pStyle w:val="TableParagraph"/>
              <w:spacing w:line="199" w:lineRule="exact"/>
              <w:ind w:left="261"/>
              <w:rPr>
                <w:sz w:val="19"/>
              </w:rPr>
            </w:pPr>
            <w:r>
              <w:rPr>
                <w:sz w:val="19"/>
              </w:rPr>
              <w:t>2 Monteclair Avenue</w:t>
            </w:r>
          </w:p>
        </w:tc>
      </w:tr>
      <w:tr>
        <w:trPr>
          <w:trHeight w:val="218" w:hRule="atLeast"/>
        </w:trPr>
        <w:tc>
          <w:tcPr>
            <w:tcW w:w="2254" w:type="dxa"/>
          </w:tcPr>
          <w:p>
            <w:pPr>
              <w:pStyle w:val="TableParagraph"/>
              <w:spacing w:line="198" w:lineRule="exact"/>
              <w:ind w:left="50"/>
              <w:rPr>
                <w:sz w:val="19"/>
              </w:rPr>
            </w:pPr>
            <w:r>
              <w:rPr>
                <w:sz w:val="19"/>
              </w:rPr>
              <w:t>Roman Shayduk</w:t>
            </w:r>
          </w:p>
        </w:tc>
        <w:tc>
          <w:tcPr>
            <w:tcW w:w="4468" w:type="dxa"/>
          </w:tcPr>
          <w:p>
            <w:pPr>
              <w:pStyle w:val="TableParagraph"/>
              <w:spacing w:line="198" w:lineRule="exact"/>
              <w:ind w:left="643"/>
              <w:rPr>
                <w:sz w:val="19"/>
              </w:rPr>
            </w:pPr>
            <w:r>
              <w:rPr>
                <w:sz w:val="19"/>
              </w:rPr>
              <w:t>MASCOT NSW 1460</w:t>
            </w:r>
          </w:p>
        </w:tc>
        <w:tc>
          <w:tcPr>
            <w:tcW w:w="4108" w:type="dxa"/>
          </w:tcPr>
          <w:p>
            <w:pPr>
              <w:pStyle w:val="TableParagraph"/>
              <w:spacing w:line="198" w:lineRule="exact"/>
              <w:ind w:left="275"/>
              <w:rPr>
                <w:sz w:val="19"/>
              </w:rPr>
            </w:pPr>
            <w:r>
              <w:rPr>
                <w:sz w:val="19"/>
              </w:rPr>
              <w:t>LIVERPOOL NSW 2170</w:t>
            </w:r>
          </w:p>
        </w:tc>
      </w:tr>
      <w:tr>
        <w:trPr>
          <w:trHeight w:val="436" w:hRule="atLeast"/>
        </w:trPr>
        <w:tc>
          <w:tcPr>
            <w:tcW w:w="2254" w:type="dxa"/>
          </w:tcPr>
          <w:p>
            <w:pPr>
              <w:pStyle w:val="TableParagraph"/>
              <w:spacing w:line="216" w:lineRule="exact" w:before="4"/>
              <w:ind w:left="50" w:right="1128"/>
              <w:rPr>
                <w:sz w:val="19"/>
              </w:rPr>
            </w:pPr>
            <w:r>
              <w:rPr>
                <w:sz w:val="19"/>
              </w:rPr>
              <w:t>Yu Tong Gary French</w:t>
            </w:r>
          </w:p>
        </w:tc>
        <w:tc>
          <w:tcPr>
            <w:tcW w:w="4468" w:type="dxa"/>
          </w:tcPr>
          <w:p>
            <w:pPr>
              <w:pStyle w:val="TableParagraph"/>
              <w:spacing w:before="7"/>
              <w:ind w:left="0"/>
              <w:rPr>
                <w:sz w:val="18"/>
              </w:rPr>
            </w:pPr>
          </w:p>
          <w:p>
            <w:pPr>
              <w:pStyle w:val="TableParagraph"/>
              <w:spacing w:line="202" w:lineRule="exact"/>
              <w:ind w:left="643"/>
              <w:rPr>
                <w:b/>
                <w:sz w:val="19"/>
              </w:rPr>
            </w:pPr>
            <w:r>
              <w:rPr>
                <w:b/>
                <w:sz w:val="19"/>
                <w:u w:val="single"/>
              </w:rPr>
              <w:t>Persons in Authority</w:t>
            </w:r>
          </w:p>
        </w:tc>
        <w:tc>
          <w:tcPr>
            <w:tcW w:w="4108" w:type="dxa"/>
          </w:tcPr>
          <w:p>
            <w:pPr>
              <w:pStyle w:val="TableParagraph"/>
              <w:spacing w:before="7"/>
              <w:ind w:left="0"/>
              <w:rPr>
                <w:sz w:val="18"/>
              </w:rPr>
            </w:pPr>
          </w:p>
          <w:p>
            <w:pPr>
              <w:pStyle w:val="TableParagraph"/>
              <w:spacing w:line="202" w:lineRule="exact"/>
              <w:ind w:left="271"/>
              <w:rPr>
                <w:b/>
                <w:sz w:val="19"/>
              </w:rPr>
            </w:pPr>
            <w:r>
              <w:rPr>
                <w:b/>
                <w:sz w:val="19"/>
                <w:u w:val="single"/>
              </w:rPr>
              <w:t>Person in Authority</w:t>
            </w:r>
          </w:p>
        </w:tc>
      </w:tr>
      <w:tr>
        <w:trPr>
          <w:trHeight w:val="545" w:hRule="atLeast"/>
        </w:trPr>
        <w:tc>
          <w:tcPr>
            <w:tcW w:w="2254" w:type="dxa"/>
          </w:tcPr>
          <w:p>
            <w:pPr>
              <w:pStyle w:val="TableParagraph"/>
              <w:ind w:left="0"/>
              <w:rPr>
                <w:rFonts w:ascii="Times New Roman"/>
                <w:sz w:val="18"/>
              </w:rPr>
            </w:pPr>
          </w:p>
        </w:tc>
        <w:tc>
          <w:tcPr>
            <w:tcW w:w="4468" w:type="dxa"/>
          </w:tcPr>
          <w:p>
            <w:pPr>
              <w:pStyle w:val="TableParagraph"/>
              <w:spacing w:line="237" w:lineRule="auto"/>
              <w:ind w:left="638" w:right="2848" w:hanging="10"/>
              <w:rPr>
                <w:sz w:val="19"/>
              </w:rPr>
            </w:pPr>
            <w:r>
              <w:rPr>
                <w:sz w:val="19"/>
              </w:rPr>
              <w:t>Syed Ali Nazleen Ali</w:t>
            </w:r>
          </w:p>
        </w:tc>
        <w:tc>
          <w:tcPr>
            <w:tcW w:w="4108" w:type="dxa"/>
          </w:tcPr>
          <w:p>
            <w:pPr>
              <w:pStyle w:val="TableParagraph"/>
              <w:spacing w:line="217" w:lineRule="exact"/>
              <w:ind w:left="256"/>
              <w:rPr>
                <w:sz w:val="19"/>
              </w:rPr>
            </w:pPr>
            <w:r>
              <w:rPr>
                <w:sz w:val="19"/>
              </w:rPr>
              <w:t>Priteshkumar Patel</w:t>
            </w:r>
          </w:p>
        </w:tc>
      </w:tr>
      <w:tr>
        <w:trPr>
          <w:trHeight w:val="328" w:hRule="atLeast"/>
        </w:trPr>
        <w:tc>
          <w:tcPr>
            <w:tcW w:w="2254" w:type="dxa"/>
          </w:tcPr>
          <w:p>
            <w:pPr>
              <w:pStyle w:val="TableParagraph"/>
              <w:ind w:left="0"/>
              <w:rPr>
                <w:rFonts w:ascii="Times New Roman"/>
                <w:sz w:val="18"/>
              </w:rPr>
            </w:pPr>
          </w:p>
        </w:tc>
        <w:tc>
          <w:tcPr>
            <w:tcW w:w="4468" w:type="dxa"/>
          </w:tcPr>
          <w:p>
            <w:pPr>
              <w:pStyle w:val="TableParagraph"/>
              <w:spacing w:line="202" w:lineRule="exact" w:before="107"/>
              <w:ind w:left="648"/>
              <w:rPr>
                <w:b/>
                <w:sz w:val="19"/>
              </w:rPr>
            </w:pPr>
            <w:r>
              <w:rPr>
                <w:b/>
                <w:sz w:val="19"/>
                <w:u w:val="single"/>
              </w:rPr>
              <w:t>Nominee Broker</w:t>
            </w:r>
          </w:p>
        </w:tc>
        <w:tc>
          <w:tcPr>
            <w:tcW w:w="4108" w:type="dxa"/>
          </w:tcPr>
          <w:p>
            <w:pPr>
              <w:pStyle w:val="TableParagraph"/>
              <w:spacing w:line="202" w:lineRule="exact" w:before="107"/>
              <w:ind w:left="266"/>
              <w:rPr>
                <w:b/>
                <w:sz w:val="19"/>
              </w:rPr>
            </w:pPr>
            <w:r>
              <w:rPr>
                <w:b/>
                <w:sz w:val="19"/>
                <w:u w:val="single"/>
              </w:rPr>
              <w:t>Nominee Broker</w:t>
            </w:r>
          </w:p>
        </w:tc>
      </w:tr>
      <w:tr>
        <w:trPr>
          <w:trHeight w:val="217" w:hRule="atLeast"/>
        </w:trPr>
        <w:tc>
          <w:tcPr>
            <w:tcW w:w="2254" w:type="dxa"/>
          </w:tcPr>
          <w:p>
            <w:pPr>
              <w:pStyle w:val="TableParagraph"/>
              <w:ind w:left="0"/>
              <w:rPr>
                <w:rFonts w:ascii="Times New Roman"/>
                <w:sz w:val="14"/>
              </w:rPr>
            </w:pPr>
          </w:p>
        </w:tc>
        <w:tc>
          <w:tcPr>
            <w:tcW w:w="4468" w:type="dxa"/>
          </w:tcPr>
          <w:p>
            <w:pPr>
              <w:pStyle w:val="TableParagraph"/>
              <w:spacing w:line="198" w:lineRule="exact"/>
              <w:ind w:left="648"/>
              <w:rPr>
                <w:sz w:val="19"/>
              </w:rPr>
            </w:pPr>
            <w:r>
              <w:rPr>
                <w:sz w:val="19"/>
              </w:rPr>
              <w:t>Clint Latta</w:t>
            </w:r>
          </w:p>
        </w:tc>
        <w:tc>
          <w:tcPr>
            <w:tcW w:w="4108" w:type="dxa"/>
          </w:tcPr>
          <w:p>
            <w:pPr>
              <w:pStyle w:val="TableParagraph"/>
              <w:spacing w:line="198" w:lineRule="exact"/>
              <w:ind w:left="261"/>
              <w:rPr>
                <w:sz w:val="19"/>
              </w:rPr>
            </w:pPr>
            <w:r>
              <w:rPr>
                <w:sz w:val="19"/>
              </w:rPr>
              <w:t>Valliamanil Gheevarghese</w:t>
            </w:r>
          </w:p>
        </w:tc>
      </w:tr>
    </w:tbl>
    <w:p>
      <w:pPr>
        <w:pStyle w:val="BodyText"/>
        <w:spacing w:before="3" w:after="1"/>
      </w:pPr>
    </w:p>
    <w:tbl>
      <w:tblPr>
        <w:tblW w:w="0" w:type="auto"/>
        <w:jc w:val="left"/>
        <w:tblInd w:w="3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1"/>
      </w:tblGrid>
      <w:tr>
        <w:trPr>
          <w:trHeight w:val="2073" w:hRule="atLeast"/>
        </w:trPr>
        <w:tc>
          <w:tcPr>
            <w:tcW w:w="6781" w:type="dxa"/>
          </w:tcPr>
          <w:p>
            <w:pPr>
              <w:pStyle w:val="TableParagraph"/>
              <w:tabs>
                <w:tab w:pos="4286" w:val="left" w:leader="none"/>
              </w:tabs>
              <w:spacing w:line="213" w:lineRule="exact"/>
              <w:rPr>
                <w:b/>
                <w:sz w:val="19"/>
              </w:rPr>
            </w:pPr>
            <w:r>
              <w:rPr>
                <w:b/>
                <w:sz w:val="19"/>
                <w:u w:val="single"/>
              </w:rPr>
              <w:t>COMPANY</w:t>
            </w:r>
            <w:r>
              <w:rPr>
                <w:b/>
                <w:sz w:val="19"/>
              </w:rPr>
              <w:tab/>
            </w:r>
            <w:r>
              <w:rPr>
                <w:b/>
                <w:sz w:val="19"/>
                <w:u w:val="single"/>
              </w:rPr>
              <w:t>COMPANY</w:t>
            </w:r>
          </w:p>
          <w:p>
            <w:pPr>
              <w:pStyle w:val="TableParagraph"/>
              <w:tabs>
                <w:tab w:pos="4295" w:val="left" w:leader="none"/>
              </w:tabs>
              <w:spacing w:line="242" w:lineRule="auto"/>
              <w:ind w:right="197"/>
              <w:rPr>
                <w:sz w:val="19"/>
              </w:rPr>
            </w:pPr>
            <w:r>
              <w:rPr>
                <w:sz w:val="19"/>
              </w:rPr>
              <w:t>Bullocks Freightmasters International</w:t>
            </w:r>
            <w:r>
              <w:rPr>
                <w:spacing w:val="-9"/>
                <w:sz w:val="19"/>
              </w:rPr>
              <w:t> </w:t>
            </w:r>
            <w:r>
              <w:rPr>
                <w:sz w:val="19"/>
              </w:rPr>
              <w:t>Pty</w:t>
            </w:r>
            <w:r>
              <w:rPr>
                <w:spacing w:val="-6"/>
                <w:sz w:val="19"/>
              </w:rPr>
              <w:t> </w:t>
            </w:r>
            <w:r>
              <w:rPr>
                <w:sz w:val="19"/>
              </w:rPr>
              <w:t>Ltd</w:t>
              <w:tab/>
              <w:t>Freelance Shipping Pty Ltd ABN 42 616</w:t>
            </w:r>
            <w:r>
              <w:rPr>
                <w:spacing w:val="-3"/>
                <w:sz w:val="19"/>
              </w:rPr>
              <w:t> </w:t>
            </w:r>
            <w:r>
              <w:rPr>
                <w:sz w:val="19"/>
              </w:rPr>
              <w:t>121</w:t>
            </w:r>
            <w:r>
              <w:rPr>
                <w:spacing w:val="-1"/>
                <w:sz w:val="19"/>
              </w:rPr>
              <w:t> </w:t>
            </w:r>
            <w:r>
              <w:rPr>
                <w:sz w:val="19"/>
              </w:rPr>
              <w:t>594</w:t>
              <w:tab/>
              <w:t>ABN 81 615 140</w:t>
            </w:r>
            <w:r>
              <w:rPr>
                <w:spacing w:val="-2"/>
                <w:sz w:val="19"/>
              </w:rPr>
              <w:t> </w:t>
            </w:r>
            <w:r>
              <w:rPr>
                <w:sz w:val="19"/>
              </w:rPr>
              <w:t>406</w:t>
            </w:r>
          </w:p>
          <w:p>
            <w:pPr>
              <w:pStyle w:val="TableParagraph"/>
              <w:tabs>
                <w:tab w:pos="4300" w:val="left" w:leader="none"/>
              </w:tabs>
              <w:spacing w:line="214" w:lineRule="exact"/>
              <w:rPr>
                <w:sz w:val="19"/>
              </w:rPr>
            </w:pPr>
            <w:r>
              <w:rPr>
                <w:sz w:val="19"/>
              </w:rPr>
              <w:t>Suite 37, 27-35</w:t>
            </w:r>
            <w:r>
              <w:rPr>
                <w:spacing w:val="-9"/>
                <w:sz w:val="19"/>
              </w:rPr>
              <w:t> </w:t>
            </w:r>
            <w:r>
              <w:rPr>
                <w:sz w:val="19"/>
              </w:rPr>
              <w:t>William</w:t>
            </w:r>
            <w:r>
              <w:rPr>
                <w:spacing w:val="1"/>
                <w:sz w:val="19"/>
              </w:rPr>
              <w:t> </w:t>
            </w:r>
            <w:r>
              <w:rPr>
                <w:sz w:val="19"/>
              </w:rPr>
              <w:t>Street</w:t>
              <w:tab/>
              <w:t>143/555 </w:t>
            </w:r>
            <w:r>
              <w:rPr>
                <w:spacing w:val="-3"/>
                <w:sz w:val="19"/>
              </w:rPr>
              <w:t>Princes</w:t>
            </w:r>
            <w:r>
              <w:rPr>
                <w:spacing w:val="6"/>
                <w:sz w:val="19"/>
              </w:rPr>
              <w:t> </w:t>
            </w:r>
            <w:r>
              <w:rPr>
                <w:sz w:val="19"/>
              </w:rPr>
              <w:t>Highway</w:t>
            </w:r>
          </w:p>
          <w:p>
            <w:pPr>
              <w:pStyle w:val="TableParagraph"/>
              <w:tabs>
                <w:tab w:pos="4295" w:val="left" w:leader="none"/>
              </w:tabs>
              <w:spacing w:before="1"/>
              <w:rPr>
                <w:sz w:val="19"/>
              </w:rPr>
            </w:pPr>
            <w:r>
              <w:rPr>
                <w:sz w:val="19"/>
              </w:rPr>
              <w:t>FREEMANTLE</w:t>
            </w:r>
            <w:r>
              <w:rPr>
                <w:spacing w:val="47"/>
                <w:sz w:val="19"/>
              </w:rPr>
              <w:t> </w:t>
            </w:r>
            <w:r>
              <w:rPr>
                <w:spacing w:val="2"/>
                <w:sz w:val="19"/>
              </w:rPr>
              <w:t>WA  </w:t>
            </w:r>
            <w:r>
              <w:rPr>
                <w:spacing w:val="-3"/>
                <w:sz w:val="19"/>
              </w:rPr>
              <w:t>6959</w:t>
              <w:tab/>
            </w:r>
            <w:r>
              <w:rPr>
                <w:sz w:val="19"/>
              </w:rPr>
              <w:t>ROCKDALE  </w:t>
            </w:r>
            <w:r>
              <w:rPr>
                <w:spacing w:val="-5"/>
                <w:sz w:val="19"/>
              </w:rPr>
              <w:t>NSW </w:t>
            </w:r>
            <w:r>
              <w:rPr>
                <w:spacing w:val="22"/>
                <w:sz w:val="19"/>
              </w:rPr>
              <w:t> </w:t>
            </w:r>
            <w:r>
              <w:rPr>
                <w:sz w:val="19"/>
              </w:rPr>
              <w:t>2216</w:t>
            </w:r>
          </w:p>
          <w:p>
            <w:pPr>
              <w:pStyle w:val="TableParagraph"/>
              <w:ind w:left="0"/>
              <w:rPr>
                <w:sz w:val="19"/>
              </w:rPr>
            </w:pPr>
          </w:p>
          <w:p>
            <w:pPr>
              <w:pStyle w:val="TableParagraph"/>
              <w:tabs>
                <w:tab w:pos="4290" w:val="left" w:leader="none"/>
              </w:tabs>
              <w:spacing w:line="217" w:lineRule="exact"/>
              <w:rPr>
                <w:b/>
                <w:sz w:val="19"/>
              </w:rPr>
            </w:pPr>
            <w:r>
              <w:rPr>
                <w:b/>
                <w:sz w:val="19"/>
                <w:u w:val="single"/>
              </w:rPr>
              <w:t>Persons</w:t>
            </w:r>
            <w:r>
              <w:rPr>
                <w:b/>
                <w:spacing w:val="-5"/>
                <w:sz w:val="19"/>
                <w:u w:val="single"/>
              </w:rPr>
              <w:t> </w:t>
            </w:r>
            <w:r>
              <w:rPr>
                <w:b/>
                <w:sz w:val="19"/>
                <w:u w:val="single"/>
              </w:rPr>
              <w:t>in</w:t>
            </w:r>
            <w:r>
              <w:rPr>
                <w:b/>
                <w:spacing w:val="-6"/>
                <w:sz w:val="19"/>
                <w:u w:val="single"/>
              </w:rPr>
              <w:t> </w:t>
            </w:r>
            <w:r>
              <w:rPr>
                <w:b/>
                <w:sz w:val="19"/>
                <w:u w:val="single"/>
              </w:rPr>
              <w:t>Authority</w:t>
            </w:r>
            <w:r>
              <w:rPr>
                <w:b/>
                <w:sz w:val="19"/>
              </w:rPr>
              <w:tab/>
            </w:r>
            <w:r>
              <w:rPr>
                <w:b/>
                <w:sz w:val="19"/>
                <w:u w:val="single"/>
              </w:rPr>
              <w:t>Person in</w:t>
            </w:r>
            <w:r>
              <w:rPr>
                <w:b/>
                <w:spacing w:val="-9"/>
                <w:sz w:val="19"/>
                <w:u w:val="single"/>
              </w:rPr>
              <w:t> </w:t>
            </w:r>
            <w:r>
              <w:rPr>
                <w:b/>
                <w:sz w:val="19"/>
                <w:u w:val="single"/>
              </w:rPr>
              <w:t>Authority</w:t>
            </w:r>
          </w:p>
          <w:p>
            <w:pPr>
              <w:pStyle w:val="TableParagraph"/>
              <w:tabs>
                <w:tab w:pos="4286" w:val="left" w:leader="none"/>
              </w:tabs>
              <w:spacing w:line="217" w:lineRule="exact"/>
              <w:rPr>
                <w:sz w:val="19"/>
              </w:rPr>
            </w:pPr>
            <w:r>
              <w:rPr>
                <w:sz w:val="19"/>
              </w:rPr>
              <w:t>Ivan</w:t>
            </w:r>
            <w:r>
              <w:rPr>
                <w:spacing w:val="-7"/>
                <w:sz w:val="19"/>
              </w:rPr>
              <w:t> </w:t>
            </w:r>
            <w:r>
              <w:rPr>
                <w:sz w:val="19"/>
              </w:rPr>
              <w:t>Bullock</w:t>
              <w:tab/>
              <w:t>Aiden Ash</w:t>
            </w:r>
            <w:r>
              <w:rPr>
                <w:spacing w:val="-12"/>
                <w:sz w:val="19"/>
              </w:rPr>
              <w:t> </w:t>
            </w:r>
            <w:r>
              <w:rPr>
                <w:sz w:val="19"/>
              </w:rPr>
              <w:t>Ali</w:t>
            </w:r>
          </w:p>
          <w:p>
            <w:pPr>
              <w:pStyle w:val="TableParagraph"/>
              <w:spacing w:before="2"/>
              <w:rPr>
                <w:sz w:val="19"/>
              </w:rPr>
            </w:pPr>
            <w:r>
              <w:rPr>
                <w:sz w:val="19"/>
              </w:rPr>
              <w:t>Graham Bullock</w:t>
            </w:r>
          </w:p>
        </w:tc>
      </w:tr>
      <w:tr>
        <w:trPr>
          <w:trHeight w:val="763" w:hRule="atLeast"/>
        </w:trPr>
        <w:tc>
          <w:tcPr>
            <w:tcW w:w="6781" w:type="dxa"/>
          </w:tcPr>
          <w:p>
            <w:pPr>
              <w:pStyle w:val="TableParagraph"/>
              <w:tabs>
                <w:tab w:pos="4305" w:val="left" w:leader="none"/>
              </w:tabs>
              <w:spacing w:line="217" w:lineRule="exact" w:before="106"/>
              <w:rPr>
                <w:b/>
                <w:sz w:val="19"/>
              </w:rPr>
            </w:pPr>
            <w:r>
              <w:rPr>
                <w:b/>
                <w:sz w:val="19"/>
                <w:u w:val="single"/>
              </w:rPr>
              <w:t>Nominee</w:t>
            </w:r>
            <w:r>
              <w:rPr>
                <w:b/>
                <w:spacing w:val="-2"/>
                <w:sz w:val="19"/>
                <w:u w:val="single"/>
              </w:rPr>
              <w:t> </w:t>
            </w:r>
            <w:r>
              <w:rPr>
                <w:b/>
                <w:sz w:val="19"/>
                <w:u w:val="single"/>
              </w:rPr>
              <w:t>Brokers</w:t>
            </w:r>
            <w:r>
              <w:rPr>
                <w:b/>
                <w:sz w:val="19"/>
              </w:rPr>
              <w:tab/>
            </w:r>
            <w:r>
              <w:rPr>
                <w:b/>
                <w:sz w:val="19"/>
                <w:u w:val="single"/>
              </w:rPr>
              <w:t>Nominee</w:t>
            </w:r>
            <w:r>
              <w:rPr>
                <w:b/>
                <w:spacing w:val="-1"/>
                <w:sz w:val="19"/>
                <w:u w:val="single"/>
              </w:rPr>
              <w:t> </w:t>
            </w:r>
            <w:r>
              <w:rPr>
                <w:b/>
                <w:sz w:val="19"/>
                <w:u w:val="single"/>
              </w:rPr>
              <w:t>Broker</w:t>
            </w:r>
          </w:p>
          <w:p>
            <w:pPr>
              <w:pStyle w:val="TableParagraph"/>
              <w:tabs>
                <w:tab w:pos="4319" w:val="left" w:leader="none"/>
              </w:tabs>
              <w:spacing w:line="217" w:lineRule="exact"/>
              <w:rPr>
                <w:sz w:val="19"/>
              </w:rPr>
            </w:pPr>
            <w:r>
              <w:rPr>
                <w:spacing w:val="-3"/>
                <w:sz w:val="19"/>
              </w:rPr>
              <w:t>David</w:t>
            </w:r>
            <w:r>
              <w:rPr>
                <w:sz w:val="19"/>
              </w:rPr>
              <w:t> Pritchard</w:t>
              <w:tab/>
              <w:t>Aiden Ash</w:t>
            </w:r>
            <w:r>
              <w:rPr>
                <w:spacing w:val="-11"/>
                <w:sz w:val="19"/>
              </w:rPr>
              <w:t> </w:t>
            </w:r>
            <w:r>
              <w:rPr>
                <w:sz w:val="19"/>
              </w:rPr>
              <w:t>Ali</w:t>
            </w:r>
          </w:p>
          <w:p>
            <w:pPr>
              <w:pStyle w:val="TableParagraph"/>
              <w:spacing w:line="199" w:lineRule="exact" w:before="3"/>
              <w:rPr>
                <w:sz w:val="19"/>
              </w:rPr>
            </w:pPr>
            <w:r>
              <w:rPr>
                <w:sz w:val="19"/>
              </w:rPr>
              <w:t>Jens Perkins</w:t>
            </w:r>
          </w:p>
        </w:tc>
      </w:tr>
    </w:tbl>
    <w:p>
      <w:pPr>
        <w:pStyle w:val="BodyText"/>
        <w:rPr>
          <w:sz w:val="20"/>
        </w:rPr>
      </w:pPr>
    </w:p>
    <w:p>
      <w:pPr>
        <w:pStyle w:val="BodyText"/>
        <w:spacing w:before="3"/>
        <w:rPr>
          <w:sz w:val="18"/>
        </w:rPr>
      </w:pPr>
    </w:p>
    <w:p>
      <w:pPr>
        <w:pStyle w:val="BodyText"/>
        <w:spacing w:line="237" w:lineRule="auto"/>
        <w:ind w:left="720" w:right="1083"/>
      </w:pPr>
      <w:r>
        <w:rPr/>
        <w:t>Any person wishing to make written representation in respect of any of these applications should address the correspondence by 6 June 2017 to:</w:t>
      </w:r>
    </w:p>
    <w:p>
      <w:pPr>
        <w:pStyle w:val="BodyText"/>
        <w:spacing w:before="4"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5"/>
        <w:gridCol w:w="5208"/>
      </w:tblGrid>
      <w:tr>
        <w:trPr>
          <w:trHeight w:val="872" w:hRule="atLeast"/>
        </w:trPr>
        <w:tc>
          <w:tcPr>
            <w:tcW w:w="3595" w:type="dxa"/>
          </w:tcPr>
          <w:p>
            <w:pPr>
              <w:pStyle w:val="TableParagraph"/>
              <w:ind w:right="1302"/>
              <w:rPr>
                <w:sz w:val="19"/>
              </w:rPr>
            </w:pPr>
            <w:r>
              <w:rPr>
                <w:sz w:val="19"/>
              </w:rPr>
              <w:t>Broker Licensing Australian Border Force 5 Constitution Avenue</w:t>
            </w:r>
          </w:p>
          <w:p>
            <w:pPr>
              <w:pStyle w:val="TableParagraph"/>
              <w:spacing w:line="199" w:lineRule="exact"/>
              <w:rPr>
                <w:sz w:val="19"/>
              </w:rPr>
            </w:pPr>
            <w:r>
              <w:rPr>
                <w:sz w:val="19"/>
              </w:rPr>
              <w:t>CANBERRA ACT 2601</w:t>
            </w:r>
          </w:p>
        </w:tc>
        <w:tc>
          <w:tcPr>
            <w:tcW w:w="5208" w:type="dxa"/>
          </w:tcPr>
          <w:p>
            <w:pPr>
              <w:pStyle w:val="TableParagraph"/>
              <w:spacing w:before="2"/>
              <w:ind w:left="0"/>
              <w:rPr>
                <w:sz w:val="22"/>
              </w:rPr>
            </w:pPr>
          </w:p>
          <w:p>
            <w:pPr>
              <w:pStyle w:val="TableParagraph"/>
              <w:ind w:left="1392"/>
              <w:rPr>
                <w:sz w:val="19"/>
              </w:rPr>
            </w:pPr>
            <w:r>
              <w:rPr>
                <w:sz w:val="19"/>
              </w:rPr>
              <w:t>Or email: </w:t>
            </w:r>
            <w:hyperlink r:id="rId6">
              <w:r>
                <w:rPr>
                  <w:color w:val="0000FF"/>
                  <w:sz w:val="19"/>
                  <w:u w:val="single" w:color="0000FF"/>
                </w:rPr>
                <w:t>brokers.licensing@border.gov.au</w:t>
              </w:r>
            </w:hyperlink>
          </w:p>
        </w:tc>
      </w:tr>
    </w:tbl>
    <w:p>
      <w:pPr>
        <w:pStyle w:val="BodyText"/>
        <w:rPr>
          <w:sz w:val="26"/>
        </w:rPr>
      </w:pPr>
    </w:p>
    <w:p>
      <w:pPr>
        <w:pStyle w:val="BodyText"/>
        <w:ind w:left="720" w:right="108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spacing w:before="10"/>
      </w:pPr>
    </w:p>
    <w:p>
      <w:pPr>
        <w:pStyle w:val="BodyText"/>
        <w:spacing w:before="1"/>
        <w:ind w:left="720"/>
      </w:pPr>
      <w:r>
        <w:rPr/>
        <w:t>[signed]</w:t>
      </w:r>
    </w:p>
    <w:p>
      <w:pPr>
        <w:pStyle w:val="BodyText"/>
        <w:rPr>
          <w:sz w:val="20"/>
        </w:rPr>
      </w:pPr>
    </w:p>
    <w:p>
      <w:pPr>
        <w:pStyle w:val="BodyText"/>
        <w:spacing w:before="3"/>
        <w:rPr>
          <w:sz w:val="18"/>
        </w:rPr>
      </w:pPr>
    </w:p>
    <w:p>
      <w:pPr>
        <w:pStyle w:val="BodyText"/>
        <w:spacing w:line="237" w:lineRule="auto"/>
        <w:ind w:left="720" w:right="9881"/>
      </w:pPr>
      <w:r>
        <w:rPr/>
        <w:t>Stephen Hledik Superintendent</w:t>
      </w:r>
    </w:p>
    <w:p>
      <w:pPr>
        <w:pStyle w:val="BodyText"/>
        <w:spacing w:line="237" w:lineRule="auto" w:before="5"/>
        <w:ind w:left="720" w:right="8096"/>
      </w:pPr>
      <w:r>
        <w:rPr/>
        <w:t>Trade and Goods Operational Policy CANBERRA ACT</w:t>
      </w:r>
    </w:p>
    <w:p>
      <w:pPr>
        <w:pStyle w:val="BodyText"/>
        <w:spacing w:before="2"/>
        <w:ind w:left="720"/>
      </w:pPr>
      <w:r>
        <w:rPr/>
        <w:t>17 May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2017/10</cp:keywords>
  <dc:subject>DIBP Notice</dc:subject>
  <dc:title>Application for Customs Broker Licence</dc:title>
  <dcterms:created xsi:type="dcterms:W3CDTF">2020-12-09T22:47:31Z</dcterms:created>
  <dcterms:modified xsi:type="dcterms:W3CDTF">2020-12-09T22:47:31Z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2017-05-17T00:00:00Z</vt:filetime>
  </property>
  <property fmtid="{D5CDD505-2E9C-101B-9397-08002B2CF9AE}" pid="3" name="LastSaved">
    <vt:filetime>2020-12-09T00:00:00Z</vt:filetime>
  </property>
</Properties>
</file>