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pStyle w:val="Title"/>
        <w:ind w:right="122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-1322137</wp:posOffset>
            </wp:positionV>
            <wp:extent cx="7560563" cy="11373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3" cy="113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DEPARTMENT OF IMMIGRATION AND BORDER PROTECTION NOTICE</w:t>
      </w:r>
    </w:p>
    <w:p>
      <w:pPr>
        <w:pStyle w:val="Title"/>
        <w:spacing w:before="199"/>
      </w:pPr>
      <w:r>
        <w:rPr/>
        <w:pict>
          <v:rect style="position:absolute;margin-left:55.919998pt;margin-top:30.276693pt;width:506.04pt;height:.48pt;mso-position-horizontal-relative:page;mso-position-vertical-relative:paragraph;z-index:-15728640;mso-wrap-distance-left:0;mso-wrap-distance-right:0" filled="true" fillcolor="#4f81bc" stroked="false">
            <v:fill type="solid"/>
            <w10:wrap type="topAndBottom"/>
          </v:rect>
        </w:pict>
      </w:r>
      <w:r>
        <w:rPr/>
        <w:t>No.2017/15</w:t>
      </w:r>
    </w:p>
    <w:p>
      <w:pPr>
        <w:spacing w:before="248"/>
        <w:ind w:left="1222" w:right="1221" w:firstLine="0"/>
        <w:jc w:val="center"/>
        <w:rPr>
          <w:sz w:val="28"/>
        </w:rPr>
      </w:pPr>
      <w:r>
        <w:rPr>
          <w:sz w:val="28"/>
        </w:rPr>
        <w:t>Luxury Car Tax Threshold and Fuel Efficient Vehicle Limit – Changes</w:t>
      </w:r>
    </w:p>
    <w:p>
      <w:pPr>
        <w:pStyle w:val="BodyText"/>
        <w:rPr>
          <w:sz w:val="28"/>
        </w:rPr>
      </w:pPr>
    </w:p>
    <w:p>
      <w:pPr>
        <w:pStyle w:val="BodyText"/>
        <w:ind w:left="720" w:right="1203"/>
      </w:pPr>
      <w:r>
        <w:rPr/>
        <w:t>This Notice is to advise of the increases in the luxury car tax (LCT) threshold and the fuel-efficient car limit for the 2017-18 financial year.</w:t>
      </w:r>
    </w:p>
    <w:p>
      <w:pPr>
        <w:pStyle w:val="BodyText"/>
        <w:spacing w:before="1"/>
      </w:pPr>
    </w:p>
    <w:p>
      <w:pPr>
        <w:pStyle w:val="BodyText"/>
        <w:ind w:left="720"/>
      </w:pPr>
      <w:r>
        <w:rPr/>
        <w:t>The Australian Taxation Office (ATO) has determined that from 1 July 2017 the following are effective:</w:t>
      </w: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10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2875"/>
        <w:gridCol w:w="4054"/>
      </w:tblGrid>
      <w:tr>
        <w:trPr>
          <w:trHeight w:val="274" w:hRule="atLeast"/>
        </w:trPr>
        <w:tc>
          <w:tcPr>
            <w:tcW w:w="274" w:type="dxa"/>
          </w:tcPr>
          <w:p>
            <w:pPr>
              <w:pStyle w:val="TableParagraph"/>
              <w:spacing w:before="13"/>
              <w:ind w:left="5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58"/>
                <w:sz w:val="20"/>
              </w:rPr>
              <w:t></w:t>
            </w:r>
          </w:p>
        </w:tc>
        <w:tc>
          <w:tcPr>
            <w:tcW w:w="2875" w:type="dxa"/>
          </w:tcPr>
          <w:p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LCT threshold</w:t>
            </w:r>
          </w:p>
        </w:tc>
        <w:tc>
          <w:tcPr>
            <w:tcW w:w="4054" w:type="dxa"/>
          </w:tcPr>
          <w:p>
            <w:pPr>
              <w:pStyle w:val="TableParagraph"/>
              <w:ind w:right="128"/>
              <w:jc w:val="right"/>
              <w:rPr>
                <w:rFonts w:ascii="Times New Roman"/>
                <w:sz w:val="20"/>
              </w:rPr>
            </w:pPr>
            <w:r>
              <w:rPr>
                <w:sz w:val="20"/>
              </w:rPr>
              <w:t>$65,094 (increased from $64,132)</w:t>
            </w:r>
            <w:r>
              <w:rPr>
                <w:rFonts w:ascii="Times New Roman"/>
                <w:sz w:val="20"/>
              </w:rPr>
              <w:t> </w:t>
            </w:r>
          </w:p>
        </w:tc>
      </w:tr>
      <w:tr>
        <w:trPr>
          <w:trHeight w:val="274" w:hRule="atLeast"/>
        </w:trPr>
        <w:tc>
          <w:tcPr>
            <w:tcW w:w="274" w:type="dxa"/>
          </w:tcPr>
          <w:p>
            <w:pPr>
              <w:pStyle w:val="TableParagraph"/>
              <w:spacing w:line="210" w:lineRule="exact" w:before="44"/>
              <w:ind w:left="5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58"/>
                <w:sz w:val="20"/>
              </w:rPr>
              <w:t></w:t>
            </w:r>
          </w:p>
        </w:tc>
        <w:tc>
          <w:tcPr>
            <w:tcW w:w="2875" w:type="dxa"/>
          </w:tcPr>
          <w:p>
            <w:pPr>
              <w:pStyle w:val="TableParagraph"/>
              <w:spacing w:line="211" w:lineRule="exact" w:before="43"/>
              <w:ind w:left="132"/>
              <w:rPr>
                <w:sz w:val="20"/>
              </w:rPr>
            </w:pPr>
            <w:r>
              <w:rPr>
                <w:sz w:val="20"/>
              </w:rPr>
              <w:t>Fuel efficient car limit</w:t>
            </w:r>
          </w:p>
        </w:tc>
        <w:tc>
          <w:tcPr>
            <w:tcW w:w="4054" w:type="dxa"/>
          </w:tcPr>
          <w:p>
            <w:pPr>
              <w:pStyle w:val="TableParagraph"/>
              <w:spacing w:line="211" w:lineRule="exact" w:before="43"/>
              <w:ind w:right="48"/>
              <w:jc w:val="right"/>
              <w:rPr>
                <w:rFonts w:ascii="Times New Roman"/>
                <w:sz w:val="20"/>
              </w:rPr>
            </w:pPr>
            <w:r>
              <w:rPr>
                <w:sz w:val="20"/>
              </w:rPr>
              <w:t>$75,526 (no change from 2016-17)</w:t>
            </w:r>
            <w:r>
              <w:rPr>
                <w:rFonts w:ascii="Times New Roman"/>
                <w:sz w:val="20"/>
              </w:rPr>
              <w:t> </w:t>
            </w:r>
          </w:p>
        </w:tc>
      </w:tr>
    </w:tbl>
    <w:p>
      <w:pPr>
        <w:pStyle w:val="BodyText"/>
        <w:spacing w:before="8"/>
        <w:rPr>
          <w:sz w:val="19"/>
        </w:rPr>
      </w:pPr>
    </w:p>
    <w:p>
      <w:pPr>
        <w:pStyle w:val="BodyText"/>
        <w:ind w:left="720" w:right="1649"/>
      </w:pPr>
      <w:r>
        <w:rPr/>
        <w:t>The increased LCT threshold and the fuel-efficient car limit advised in this Notice supersede those advised in Department of Immigration and Border Protection Notice No. 2016/19.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80" w:lineRule="auto" w:before="1"/>
        <w:ind w:left="720" w:right="3710"/>
      </w:pPr>
      <w:r>
        <w:rPr/>
        <w:t>The Integrated Cargo System will be amended to reflect the LCT threshold increase. Further information on: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16" w:after="0"/>
        <w:ind w:left="1440" w:right="0" w:hanging="361"/>
        <w:jc w:val="left"/>
        <w:rPr>
          <w:rFonts w:ascii="Times New Roman" w:hAnsi="Times New Roman"/>
          <w:sz w:val="20"/>
        </w:rPr>
      </w:pPr>
      <w:r>
        <w:rPr>
          <w:sz w:val="20"/>
        </w:rPr>
        <w:t>Fuel efficient cars is available from</w:t>
      </w:r>
      <w:r>
        <w:rPr>
          <w:spacing w:val="-4"/>
          <w:sz w:val="20"/>
        </w:rPr>
        <w:t> </w:t>
      </w:r>
      <w:hyperlink r:id="rId6">
        <w:r>
          <w:rPr>
            <w:color w:val="0000FF"/>
            <w:sz w:val="20"/>
          </w:rPr>
          <w:t>www.infrastructure.gov.au</w:t>
        </w:r>
      </w:hyperlink>
      <w:r>
        <w:rPr>
          <w:rFonts w:ascii="Times New Roman" w:hAnsi="Times New Roman"/>
          <w:color w:val="0000FF"/>
          <w:sz w:val="20"/>
        </w:rPr>
        <w:t> 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71" w:after="0"/>
        <w:ind w:left="1440" w:right="0" w:hanging="361"/>
        <w:jc w:val="left"/>
        <w:rPr>
          <w:rFonts w:ascii="Times New Roman" w:hAnsi="Times New Roman"/>
          <w:sz w:val="20"/>
        </w:rPr>
      </w:pPr>
      <w:r>
        <w:rPr>
          <w:sz w:val="20"/>
        </w:rPr>
        <w:t>LCT is available from</w:t>
      </w:r>
      <w:r>
        <w:rPr>
          <w:spacing w:val="2"/>
          <w:sz w:val="20"/>
        </w:rPr>
        <w:t> </w:t>
      </w:r>
      <w:hyperlink r:id="rId7">
        <w:r>
          <w:rPr>
            <w:color w:val="0000FF"/>
            <w:sz w:val="20"/>
          </w:rPr>
          <w:t>www.ato.gov.au</w:t>
        </w:r>
      </w:hyperlink>
      <w:r>
        <w:rPr>
          <w:rFonts w:ascii="Times New Roman" w:hAnsi="Times New Roman"/>
          <w:color w:val="0000FF"/>
          <w:sz w:val="20"/>
        </w:rPr>
        <w:t> 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74" w:after="0"/>
        <w:ind w:left="1440" w:right="0" w:hanging="361"/>
        <w:jc w:val="left"/>
        <w:rPr>
          <w:rFonts w:ascii="Times New Roman" w:hAnsi="Times New Roman"/>
          <w:sz w:val="20"/>
        </w:rPr>
      </w:pPr>
      <w:r>
        <w:rPr>
          <w:sz w:val="20"/>
        </w:rPr>
        <w:t>Exemptions from LCT is available from</w:t>
      </w:r>
      <w:r>
        <w:rPr>
          <w:spacing w:val="8"/>
          <w:sz w:val="20"/>
        </w:rPr>
        <w:t> </w:t>
      </w:r>
      <w:hyperlink r:id="rId8">
        <w:r>
          <w:rPr>
            <w:color w:val="0000FF"/>
            <w:sz w:val="20"/>
          </w:rPr>
          <w:t>www.border.gov.au</w:t>
        </w:r>
      </w:hyperlink>
      <w:r>
        <w:rPr>
          <w:rFonts w:ascii="Times New Roman" w:hAnsi="Times New Roman"/>
          <w:color w:val="0000FF"/>
          <w:sz w:val="20"/>
        </w:rPr>
        <w:t> 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8"/>
        <w:rPr>
          <w:rFonts w:ascii="Times New Roman"/>
          <w:sz w:val="31"/>
        </w:rPr>
      </w:pPr>
    </w:p>
    <w:p>
      <w:pPr>
        <w:pStyle w:val="BodyText"/>
        <w:ind w:left="720" w:right="9831"/>
      </w:pPr>
      <w:r>
        <w:rPr/>
        <w:t>[Signed] Joshua</w:t>
      </w:r>
      <w:r>
        <w:rPr>
          <w:spacing w:val="-3"/>
        </w:rPr>
        <w:t> Hutton</w:t>
      </w:r>
    </w:p>
    <w:p>
      <w:pPr>
        <w:pStyle w:val="BodyText"/>
        <w:spacing w:before="1"/>
        <w:ind w:left="720" w:right="8724"/>
      </w:pPr>
      <w:r>
        <w:rPr/>
        <w:t>Acting Assistant Secretary Trade and Customs Branch Canberra,</w:t>
      </w:r>
      <w:r>
        <w:rPr>
          <w:spacing w:val="-2"/>
        </w:rPr>
        <w:t> </w:t>
      </w:r>
      <w:r>
        <w:rPr/>
        <w:t>ACT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720"/>
      </w:pPr>
      <w:r>
        <w:rPr/>
        <w:t>15 June 2017</w:t>
      </w:r>
    </w:p>
    <w:sectPr>
      <w:type w:val="continuous"/>
      <w:pgSz w:w="11910" w:h="16840"/>
      <w:pgMar w:top="5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40" w:hanging="361"/>
      </w:pPr>
      <w:rPr>
        <w:rFonts w:hint="default" w:ascii="Times New Roman" w:hAnsi="Times New Roman" w:eastAsia="Times New Roman" w:cs="Times New Roman"/>
        <w:w w:val="13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1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1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1222" w:right="772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1440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infrastructure.gov.au/" TargetMode="External"/><Relationship Id="rId7" Type="http://schemas.openxmlformats.org/officeDocument/2006/relationships/hyperlink" Target="http://www.ato.gov.au/" TargetMode="External"/><Relationship Id="rId8" Type="http://schemas.openxmlformats.org/officeDocument/2006/relationships/hyperlink" Target="http://www.border.gov.au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Immigration and Border Protection</dc:creator>
  <cp:keywords>Luxury Car Tax</cp:keywords>
  <dc:subject>Luxury Car Tax Threshold and Fuel Efficient Vehicle Limit</dc:subject>
  <dc:title>DIBP Notice 2017-15 - Luxury Car Tax Threshold and Fuel Efficient Vehicle Limit </dc:title>
  <dcterms:created xsi:type="dcterms:W3CDTF">2020-12-09T22:36:20Z</dcterms:created>
  <dcterms:modified xsi:type="dcterms:W3CDTF">2020-12-09T22:36:20Z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2017-06-20T00:00:00Z</vt:filetime>
  </property>
  <property fmtid="{D5CDD505-2E9C-101B-9397-08002B2CF9AE}" pid="3" name="LastSaved">
    <vt:filetime>2020-12-09T00:00:00Z</vt:filetime>
  </property>
</Properties>
</file>