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-1293468</wp:posOffset>
            </wp:positionV>
            <wp:extent cx="7559040" cy="1110622"/>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10622"/>
                    </a:xfrm>
                    <a:prstGeom prst="rect">
                      <a:avLst/>
                    </a:prstGeom>
                  </pic:spPr>
                </pic:pic>
              </a:graphicData>
            </a:graphic>
          </wp:anchor>
        </w:drawing>
      </w:r>
      <w:r>
        <w:rPr/>
        <w:t>DEPARTMENT OF IMMIGRATION AND BORDER PROTECTION NOTICE</w:t>
      </w:r>
    </w:p>
    <w:p>
      <w:pPr>
        <w:pStyle w:val="Title"/>
        <w:spacing w:before="206"/>
        <w:ind w:left="1604" w:right="1571"/>
        <w:jc w:val="center"/>
      </w:pPr>
      <w:r>
        <w:rPr/>
        <w:pict>
          <v:rect style="position:absolute;margin-left:55.919998pt;margin-top:30.391813pt;width:485.28pt;height:.48pt;mso-position-horizontal-relative:page;mso-position-vertical-relative:paragraph;z-index:-15728640;mso-wrap-distance-left:0;mso-wrap-distance-right:0" filled="true" fillcolor="#4f81bd" stroked="false">
            <v:fill type="solid"/>
            <w10:wrap type="topAndBottom"/>
          </v:rect>
        </w:pict>
      </w:r>
      <w:r>
        <w:rPr/>
        <w:t>No.2017/18</w:t>
      </w:r>
    </w:p>
    <w:p>
      <w:pPr>
        <w:pStyle w:val="BodyText"/>
        <w:spacing w:before="7"/>
        <w:rPr>
          <w:rFonts w:ascii="Arial"/>
          <w:b/>
          <w:sz w:val="13"/>
        </w:rPr>
      </w:pPr>
    </w:p>
    <w:p>
      <w:pPr>
        <w:spacing w:before="89"/>
        <w:ind w:left="1604" w:right="2018" w:firstLine="0"/>
        <w:jc w:val="center"/>
        <w:rPr>
          <w:rFonts w:ascii="Arial-BoldItalicMT"/>
          <w:b/>
          <w:i/>
          <w:sz w:val="28"/>
        </w:rPr>
      </w:pPr>
      <w:r>
        <w:rPr>
          <w:rFonts w:ascii="Arial-BoldItalicMT"/>
          <w:b/>
          <w:i/>
          <w:sz w:val="28"/>
        </w:rPr>
        <w:t>Statistical Code, Duty Rate and Other Changes for 1 July 2017</w:t>
      </w:r>
    </w:p>
    <w:p>
      <w:pPr>
        <w:pStyle w:val="BodyText"/>
        <w:spacing w:before="4"/>
        <w:rPr>
          <w:rFonts w:ascii="Arial-BoldItalicMT"/>
          <w:b/>
          <w:i/>
          <w:sz w:val="28"/>
        </w:rPr>
      </w:pPr>
    </w:p>
    <w:p>
      <w:pPr>
        <w:pStyle w:val="Heading1"/>
        <w:rPr>
          <w:u w:val="none"/>
        </w:rPr>
      </w:pPr>
      <w:r>
        <w:rPr>
          <w:sz w:val="24"/>
          <w:u w:val="single"/>
        </w:rPr>
        <w:t>S</w:t>
      </w:r>
      <w:r>
        <w:rPr>
          <w:u w:val="single"/>
        </w:rPr>
        <w:t>tatistical code changes</w:t>
      </w:r>
    </w:p>
    <w:p>
      <w:pPr>
        <w:pStyle w:val="BodyText"/>
        <w:spacing w:before="9"/>
        <w:rPr>
          <w:b/>
          <w:sz w:val="15"/>
        </w:rPr>
      </w:pPr>
    </w:p>
    <w:p>
      <w:pPr>
        <w:pStyle w:val="BodyText"/>
        <w:spacing w:before="90"/>
        <w:ind w:left="1147" w:right="1449" w:hanging="1"/>
      </w:pPr>
      <w:r>
        <w:rPr>
          <w:sz w:val="24"/>
        </w:rPr>
        <w:t>The </w:t>
      </w:r>
      <w:r>
        <w:rPr/>
        <w:t>Australian Bureau of Statistics (ABS) has advised of a change to a statistical code descriptor in the Customs Tariff Working pages, from 1 July 2017, for tariff subheading 9405.10.00 59 with the descriptor changing from “.Other” to “..Other”.</w:t>
      </w:r>
    </w:p>
    <w:p>
      <w:pPr>
        <w:pStyle w:val="BodyText"/>
        <w:spacing w:before="206"/>
        <w:ind w:left="1147" w:right="1804"/>
      </w:pPr>
      <w:r>
        <w:rPr/>
        <w:t>The ABS has advised that no changes will be made to the Australian Harmonized Export Commodity Classification on 1 July 2017.</w:t>
      </w:r>
    </w:p>
    <w:p>
      <w:pPr>
        <w:pStyle w:val="BodyText"/>
        <w:spacing w:before="6"/>
        <w:rPr>
          <w:sz w:val="24"/>
        </w:rPr>
      </w:pPr>
    </w:p>
    <w:p>
      <w:pPr>
        <w:pStyle w:val="Heading1"/>
        <w:rPr>
          <w:u w:val="none"/>
        </w:rPr>
      </w:pPr>
      <w:r>
        <w:rPr>
          <w:u w:val="single"/>
        </w:rPr>
        <w:t>Reduction of customs duty rates for certain goods</w:t>
      </w:r>
    </w:p>
    <w:p>
      <w:pPr>
        <w:pStyle w:val="BodyText"/>
        <w:spacing w:before="10"/>
        <w:rPr>
          <w:b/>
          <w:sz w:val="13"/>
        </w:rPr>
      </w:pPr>
    </w:p>
    <w:p>
      <w:pPr>
        <w:pStyle w:val="BodyText"/>
        <w:spacing w:before="91"/>
        <w:ind w:left="1147" w:right="1267"/>
        <w:jc w:val="both"/>
      </w:pPr>
      <w:r>
        <w:rPr/>
        <w:t>The second phase down of customs duty rates under the Expanded Information Technology Agreement will occur on 1 July 2017. The customs duty rate for nine tariff subheadings will be reduced. Further details can be found at </w:t>
      </w:r>
      <w:r>
        <w:rPr>
          <w:u w:val="single"/>
        </w:rPr>
        <w:t>Attachment A</w:t>
      </w:r>
      <w:r>
        <w:rPr/>
        <w:t>.</w:t>
      </w:r>
    </w:p>
    <w:p>
      <w:pPr>
        <w:pStyle w:val="BodyText"/>
        <w:spacing w:before="2"/>
        <w:rPr>
          <w:sz w:val="14"/>
        </w:rPr>
      </w:pPr>
    </w:p>
    <w:p>
      <w:pPr>
        <w:pStyle w:val="Heading1"/>
        <w:spacing w:before="91"/>
        <w:rPr>
          <w:u w:val="none"/>
        </w:rPr>
      </w:pPr>
      <w:r>
        <w:rPr>
          <w:u w:val="single"/>
        </w:rPr>
        <w:t>Customs Tariff Amendment Act 2017</w:t>
      </w:r>
    </w:p>
    <w:p>
      <w:pPr>
        <w:pStyle w:val="BodyText"/>
        <w:spacing w:before="8"/>
        <w:rPr>
          <w:b/>
          <w:sz w:val="15"/>
        </w:rPr>
      </w:pPr>
    </w:p>
    <w:p>
      <w:pPr>
        <w:pStyle w:val="BodyText"/>
        <w:spacing w:before="90"/>
        <w:ind w:left="1147"/>
      </w:pPr>
      <w:r>
        <w:rPr>
          <w:sz w:val="24"/>
        </w:rPr>
        <w:t>The </w:t>
      </w:r>
      <w:r>
        <w:rPr/>
        <w:t>date of Proclamation for this Act is 1 July 2017. The following amendments commence on this date:</w:t>
      </w:r>
    </w:p>
    <w:p>
      <w:pPr>
        <w:pStyle w:val="BodyText"/>
        <w:spacing w:before="5"/>
        <w:rPr>
          <w:sz w:val="23"/>
        </w:rPr>
      </w:pPr>
    </w:p>
    <w:p>
      <w:pPr>
        <w:pStyle w:val="ListParagraph"/>
        <w:numPr>
          <w:ilvl w:val="0"/>
          <w:numId w:val="1"/>
        </w:numPr>
        <w:tabs>
          <w:tab w:pos="1440" w:val="left" w:leader="none"/>
          <w:tab w:pos="1441" w:val="left" w:leader="none"/>
        </w:tabs>
        <w:spacing w:line="240" w:lineRule="auto" w:before="1" w:after="0"/>
        <w:ind w:left="1440" w:right="1293" w:hanging="361"/>
        <w:jc w:val="left"/>
        <w:rPr>
          <w:sz w:val="22"/>
        </w:rPr>
      </w:pPr>
      <w:r>
        <w:rPr>
          <w:sz w:val="22"/>
        </w:rPr>
        <w:t>Schedule 1 </w:t>
      </w:r>
      <w:r>
        <w:rPr>
          <w:spacing w:val="-3"/>
          <w:sz w:val="22"/>
        </w:rPr>
        <w:t>of </w:t>
      </w:r>
      <w:r>
        <w:rPr>
          <w:sz w:val="22"/>
        </w:rPr>
        <w:t>the </w:t>
      </w:r>
      <w:r>
        <w:rPr>
          <w:i/>
          <w:sz w:val="22"/>
        </w:rPr>
        <w:t>Customs Tariff Act 1995 </w:t>
      </w:r>
      <w:r>
        <w:rPr>
          <w:sz w:val="22"/>
        </w:rPr>
        <w:t>(the Tariff Act) is repealed, and simultaneously re-enacted in the </w:t>
      </w:r>
      <w:r>
        <w:rPr>
          <w:i/>
          <w:sz w:val="22"/>
        </w:rPr>
        <w:t>Customs Tariff Regulation</w:t>
      </w:r>
      <w:r>
        <w:rPr>
          <w:i/>
          <w:spacing w:val="-8"/>
          <w:sz w:val="22"/>
        </w:rPr>
        <w:t> </w:t>
      </w:r>
      <w:r>
        <w:rPr>
          <w:i/>
          <w:sz w:val="22"/>
        </w:rPr>
        <w:t>2004</w:t>
      </w:r>
      <w:r>
        <w:rPr>
          <w:sz w:val="22"/>
        </w:rPr>
        <w:t>.</w:t>
      </w:r>
    </w:p>
    <w:p>
      <w:pPr>
        <w:pStyle w:val="BodyText"/>
        <w:spacing w:before="8"/>
        <w:rPr>
          <w:sz w:val="23"/>
        </w:rPr>
      </w:pPr>
    </w:p>
    <w:p>
      <w:pPr>
        <w:pStyle w:val="ListParagraph"/>
        <w:numPr>
          <w:ilvl w:val="0"/>
          <w:numId w:val="1"/>
        </w:numPr>
        <w:tabs>
          <w:tab w:pos="1440" w:val="left" w:leader="none"/>
          <w:tab w:pos="1441" w:val="left" w:leader="none"/>
        </w:tabs>
        <w:spacing w:line="237" w:lineRule="auto" w:before="0" w:after="0"/>
        <w:ind w:left="1440" w:right="1743" w:hanging="361"/>
        <w:jc w:val="left"/>
        <w:rPr>
          <w:sz w:val="22"/>
        </w:rPr>
      </w:pPr>
      <w:r>
        <w:rPr>
          <w:sz w:val="22"/>
        </w:rPr>
        <w:t>Section 16A </w:t>
      </w:r>
      <w:r>
        <w:rPr>
          <w:spacing w:val="-3"/>
          <w:sz w:val="22"/>
        </w:rPr>
        <w:t>of </w:t>
      </w:r>
      <w:r>
        <w:rPr>
          <w:sz w:val="22"/>
        </w:rPr>
        <w:t>the Tariff </w:t>
      </w:r>
      <w:r>
        <w:rPr>
          <w:spacing w:val="-3"/>
          <w:sz w:val="22"/>
        </w:rPr>
        <w:t>Act </w:t>
      </w:r>
      <w:r>
        <w:rPr>
          <w:sz w:val="22"/>
        </w:rPr>
        <w:t>is repealed, removing agriculture safeguard provisions relating to the Thailand-Australia Free Trade Agreement, which expired on 31 </w:t>
      </w:r>
      <w:r>
        <w:rPr>
          <w:spacing w:val="-3"/>
          <w:sz w:val="22"/>
        </w:rPr>
        <w:t>December</w:t>
      </w:r>
      <w:r>
        <w:rPr>
          <w:spacing w:val="10"/>
          <w:sz w:val="22"/>
        </w:rPr>
        <w:t> </w:t>
      </w:r>
      <w:r>
        <w:rPr>
          <w:sz w:val="22"/>
        </w:rPr>
        <w:t>2008.</w:t>
      </w:r>
    </w:p>
    <w:p>
      <w:pPr>
        <w:pStyle w:val="BodyText"/>
        <w:spacing w:before="4"/>
        <w:rPr>
          <w:sz w:val="23"/>
        </w:rPr>
      </w:pPr>
    </w:p>
    <w:p>
      <w:pPr>
        <w:pStyle w:val="ListParagraph"/>
        <w:numPr>
          <w:ilvl w:val="0"/>
          <w:numId w:val="1"/>
        </w:numPr>
        <w:tabs>
          <w:tab w:pos="1440" w:val="left" w:leader="none"/>
          <w:tab w:pos="1441" w:val="left" w:leader="none"/>
        </w:tabs>
        <w:spacing w:line="240" w:lineRule="auto" w:before="0" w:after="0"/>
        <w:ind w:left="1440" w:right="1297" w:hanging="361"/>
        <w:jc w:val="left"/>
        <w:rPr>
          <w:sz w:val="22"/>
        </w:rPr>
      </w:pPr>
      <w:r>
        <w:rPr>
          <w:sz w:val="22"/>
        </w:rPr>
        <w:t>Additional Notes to Chapter 7, 8 and 19 </w:t>
      </w:r>
      <w:r>
        <w:rPr>
          <w:spacing w:val="-3"/>
          <w:sz w:val="22"/>
        </w:rPr>
        <w:t>of </w:t>
      </w:r>
      <w:r>
        <w:rPr>
          <w:sz w:val="22"/>
        </w:rPr>
        <w:t>the Tariff Act which clarify the tariff classification </w:t>
      </w:r>
      <w:r>
        <w:rPr>
          <w:spacing w:val="-3"/>
          <w:sz w:val="22"/>
        </w:rPr>
        <w:t>of </w:t>
      </w:r>
      <w:r>
        <w:rPr>
          <w:sz w:val="22"/>
        </w:rPr>
        <w:t>certain fruits, vegetables and pastas. The text </w:t>
      </w:r>
      <w:r>
        <w:rPr>
          <w:spacing w:val="-3"/>
          <w:sz w:val="22"/>
        </w:rPr>
        <w:t>of </w:t>
      </w:r>
      <w:r>
        <w:rPr>
          <w:sz w:val="22"/>
        </w:rPr>
        <w:t>the new Additional Notes can be found at </w:t>
      </w:r>
      <w:r>
        <w:rPr>
          <w:sz w:val="22"/>
          <w:u w:val="single"/>
        </w:rPr>
        <w:t>Attachment</w:t>
      </w:r>
      <w:r>
        <w:rPr>
          <w:spacing w:val="-20"/>
          <w:sz w:val="22"/>
          <w:u w:val="single"/>
        </w:rPr>
        <w:t> </w:t>
      </w:r>
      <w:r>
        <w:rPr>
          <w:sz w:val="22"/>
          <w:u w:val="single"/>
        </w:rPr>
        <w:t>B</w:t>
      </w:r>
      <w:r>
        <w:rPr>
          <w:sz w:val="22"/>
        </w:rPr>
        <w:t>.</w:t>
      </w:r>
    </w:p>
    <w:p>
      <w:pPr>
        <w:pStyle w:val="BodyText"/>
        <w:spacing w:before="1"/>
        <w:rPr>
          <w:sz w:val="23"/>
        </w:rPr>
      </w:pPr>
    </w:p>
    <w:p>
      <w:pPr>
        <w:pStyle w:val="ListParagraph"/>
        <w:numPr>
          <w:ilvl w:val="0"/>
          <w:numId w:val="1"/>
        </w:numPr>
        <w:tabs>
          <w:tab w:pos="1440" w:val="left" w:leader="none"/>
          <w:tab w:pos="1441" w:val="left" w:leader="none"/>
        </w:tabs>
        <w:spacing w:line="240" w:lineRule="auto" w:before="1" w:after="0"/>
        <w:ind w:left="1440" w:right="1432" w:hanging="361"/>
        <w:jc w:val="left"/>
        <w:rPr>
          <w:sz w:val="22"/>
        </w:rPr>
      </w:pPr>
      <w:r>
        <w:rPr>
          <w:sz w:val="22"/>
        </w:rPr>
        <w:t>An end date </w:t>
      </w:r>
      <w:r>
        <w:rPr>
          <w:spacing w:val="-3"/>
          <w:sz w:val="22"/>
        </w:rPr>
        <w:t>of </w:t>
      </w:r>
      <w:r>
        <w:rPr>
          <w:sz w:val="22"/>
        </w:rPr>
        <w:t>31 </w:t>
      </w:r>
      <w:r>
        <w:rPr>
          <w:spacing w:val="-3"/>
          <w:sz w:val="22"/>
        </w:rPr>
        <w:t>December </w:t>
      </w:r>
      <w:r>
        <w:rPr>
          <w:sz w:val="22"/>
        </w:rPr>
        <w:t>2017 is inserted </w:t>
      </w:r>
      <w:r>
        <w:rPr>
          <w:spacing w:val="-3"/>
          <w:sz w:val="22"/>
        </w:rPr>
        <w:t>for </w:t>
      </w:r>
      <w:r>
        <w:rPr>
          <w:sz w:val="22"/>
        </w:rPr>
        <w:t>the Enhanced Project By-law Scheme, implemented under Item 44 to Schedule 4 of the Tariff Act. Importers who currently have a valid determination will continue to be able to access the Scheme until the </w:t>
      </w:r>
      <w:r>
        <w:rPr>
          <w:spacing w:val="-3"/>
          <w:sz w:val="22"/>
        </w:rPr>
        <w:t>end </w:t>
      </w:r>
      <w:r>
        <w:rPr>
          <w:sz w:val="22"/>
        </w:rPr>
        <w:t>date </w:t>
      </w:r>
      <w:r>
        <w:rPr>
          <w:spacing w:val="-3"/>
          <w:sz w:val="22"/>
        </w:rPr>
        <w:t>of </w:t>
      </w:r>
      <w:r>
        <w:rPr>
          <w:sz w:val="22"/>
        </w:rPr>
        <w:t>the determination. This measure was announced in the 2016-17</w:t>
      </w:r>
      <w:r>
        <w:rPr>
          <w:spacing w:val="-5"/>
          <w:sz w:val="22"/>
        </w:rPr>
        <w:t> </w:t>
      </w:r>
      <w:r>
        <w:rPr>
          <w:sz w:val="22"/>
        </w:rPr>
        <w:t>Budget.</w:t>
      </w:r>
    </w:p>
    <w:p>
      <w:pPr>
        <w:pStyle w:val="BodyText"/>
        <w:spacing w:before="8"/>
        <w:rPr>
          <w:sz w:val="24"/>
        </w:rPr>
      </w:pPr>
    </w:p>
    <w:p>
      <w:pPr>
        <w:pStyle w:val="Heading1"/>
        <w:rPr>
          <w:u w:val="none"/>
        </w:rPr>
      </w:pPr>
      <w:r>
        <w:rPr>
          <w:u w:val="single"/>
        </w:rPr>
        <w:t>Customs Tariff Amendment Regulations 2017</w:t>
      </w:r>
    </w:p>
    <w:p>
      <w:pPr>
        <w:pStyle w:val="BodyText"/>
        <w:spacing w:before="6"/>
        <w:rPr>
          <w:b/>
          <w:sz w:val="15"/>
        </w:rPr>
      </w:pPr>
    </w:p>
    <w:p>
      <w:pPr>
        <w:pStyle w:val="BodyText"/>
        <w:spacing w:before="92"/>
        <w:ind w:left="1147" w:right="1108"/>
      </w:pPr>
      <w:r>
        <w:rPr/>
        <w:t>Re-enacts Schedule 1 of the Tariff Act in the </w:t>
      </w:r>
      <w:r>
        <w:rPr>
          <w:i/>
        </w:rPr>
        <w:t>Customs Tariff Regulation 2004</w:t>
      </w:r>
      <w:r>
        <w:rPr/>
        <w:t>. The lists of countries and places entitled to preferential customs duty rates will be re-enacted as they were previously legislated, except the Forum Island Countries, which will be added to the Developing Countries preference list.</w:t>
      </w:r>
    </w:p>
    <w:p>
      <w:pPr>
        <w:spacing w:after="0"/>
        <w:sectPr>
          <w:type w:val="continuous"/>
          <w:pgSz w:w="11910" w:h="16840"/>
          <w:pgMar w:top="600" w:bottom="280" w:left="0" w:right="0"/>
        </w:sectPr>
      </w:pPr>
    </w:p>
    <w:p>
      <w:pPr>
        <w:pStyle w:val="Heading1"/>
        <w:spacing w:before="62"/>
        <w:rPr>
          <w:u w:val="none"/>
        </w:rPr>
      </w:pPr>
      <w:r>
        <w:rPr>
          <w:u w:val="single"/>
        </w:rPr>
        <w:t>Customs By-law No. 1700053</w:t>
      </w:r>
    </w:p>
    <w:p>
      <w:pPr>
        <w:pStyle w:val="BodyText"/>
        <w:spacing w:before="5"/>
        <w:rPr>
          <w:b/>
          <w:sz w:val="13"/>
        </w:rPr>
      </w:pPr>
    </w:p>
    <w:p>
      <w:pPr>
        <w:pStyle w:val="BodyText"/>
        <w:spacing w:before="92"/>
        <w:ind w:left="1147" w:right="1701" w:hanging="1"/>
      </w:pPr>
      <w:r>
        <w:rPr/>
        <w:t>This By-law provides for accompanied personal effects and reduces the duty free tobacco allowance imported by passengers or members of the crew of ships or aircraft from 50 cigarettes or equivalent, to 25 cigarettes or equivalent. This measure was announced in the 2016-17 Budget. This By-law replaces Customs By-law No. 1300953, which is revoked as of 30 June 2017.</w:t>
      </w:r>
    </w:p>
    <w:p>
      <w:pPr>
        <w:pStyle w:val="BodyText"/>
        <w:spacing w:before="10"/>
        <w:rPr>
          <w:sz w:val="23"/>
        </w:rPr>
      </w:pPr>
    </w:p>
    <w:p>
      <w:pPr>
        <w:pStyle w:val="BodyText"/>
        <w:ind w:left="1147"/>
      </w:pPr>
      <w:r>
        <w:rPr/>
        <w:t>Please direct any inquiries concerning these matters to the following contact:</w:t>
      </w:r>
    </w:p>
    <w:p>
      <w:pPr>
        <w:pStyle w:val="BodyText"/>
        <w:spacing w:before="6"/>
        <w:rPr>
          <w:sz w:val="24"/>
        </w:rPr>
      </w:pPr>
    </w:p>
    <w:p>
      <w:pPr>
        <w:pStyle w:val="BodyText"/>
        <w:spacing w:line="237" w:lineRule="auto"/>
        <w:ind w:left="1146" w:right="7371"/>
      </w:pPr>
      <w:r>
        <w:rPr/>
        <w:t>Assistant Director – Tariff Legislation </w:t>
      </w:r>
      <w:hyperlink r:id="rId6">
        <w:r>
          <w:rPr>
            <w:color w:val="0000FF"/>
            <w:u w:val="single" w:color="0000FF"/>
          </w:rPr>
          <w:t>tradepolicy1@border.gov.au</w:t>
        </w:r>
      </w:hyperlink>
    </w:p>
    <w:p>
      <w:pPr>
        <w:pStyle w:val="BodyText"/>
        <w:spacing w:before="4"/>
        <w:rPr>
          <w:sz w:val="16"/>
        </w:rPr>
      </w:pPr>
    </w:p>
    <w:p>
      <w:pPr>
        <w:pStyle w:val="BodyText"/>
        <w:spacing w:before="91"/>
        <w:ind w:left="1147" w:right="1108"/>
      </w:pPr>
      <w:r>
        <w:rPr/>
        <w:t>Necessary</w:t>
      </w:r>
      <w:r>
        <w:rPr>
          <w:spacing w:val="-4"/>
        </w:rPr>
        <w:t> </w:t>
      </w:r>
      <w:r>
        <w:rPr/>
        <w:t>changes</w:t>
      </w:r>
      <w:r>
        <w:rPr>
          <w:spacing w:val="5"/>
        </w:rPr>
        <w:t> </w:t>
      </w:r>
      <w:r>
        <w:rPr/>
        <w:t>will</w:t>
      </w:r>
      <w:r>
        <w:rPr>
          <w:spacing w:val="-2"/>
        </w:rPr>
        <w:t> </w:t>
      </w:r>
      <w:r>
        <w:rPr/>
        <w:t>be</w:t>
      </w:r>
      <w:r>
        <w:rPr>
          <w:spacing w:val="-1"/>
        </w:rPr>
        <w:t> </w:t>
      </w:r>
      <w:r>
        <w:rPr/>
        <w:t>made</w:t>
      </w:r>
      <w:r>
        <w:rPr>
          <w:spacing w:val="-6"/>
        </w:rPr>
        <w:t> </w:t>
      </w:r>
      <w:r>
        <w:rPr>
          <w:spacing w:val="2"/>
        </w:rPr>
        <w:t>to</w:t>
      </w:r>
      <w:r>
        <w:rPr>
          <w:spacing w:val="-4"/>
        </w:rPr>
        <w:t> </w:t>
      </w:r>
      <w:r>
        <w:rPr/>
        <w:t>the</w:t>
      </w:r>
      <w:r>
        <w:rPr>
          <w:spacing w:val="-6"/>
        </w:rPr>
        <w:t> </w:t>
      </w:r>
      <w:r>
        <w:rPr/>
        <w:t>Integrated</w:t>
      </w:r>
      <w:r>
        <w:rPr>
          <w:spacing w:val="-4"/>
        </w:rPr>
        <w:t> </w:t>
      </w:r>
      <w:r>
        <w:rPr/>
        <w:t>Cargo</w:t>
      </w:r>
      <w:r>
        <w:rPr>
          <w:spacing w:val="-4"/>
        </w:rPr>
        <w:t> </w:t>
      </w:r>
      <w:r>
        <w:rPr/>
        <w:t>Support</w:t>
      </w:r>
      <w:r>
        <w:rPr>
          <w:spacing w:val="-3"/>
        </w:rPr>
        <w:t> </w:t>
      </w:r>
      <w:r>
        <w:rPr/>
        <w:t>System</w:t>
      </w:r>
      <w:r>
        <w:rPr>
          <w:spacing w:val="-7"/>
        </w:rPr>
        <w:t> </w:t>
      </w:r>
      <w:r>
        <w:rPr>
          <w:spacing w:val="2"/>
        </w:rPr>
        <w:t>and</w:t>
      </w:r>
      <w:r>
        <w:rPr>
          <w:spacing w:val="-4"/>
        </w:rPr>
        <w:t> </w:t>
      </w:r>
      <w:r>
        <w:rPr/>
        <w:t>to</w:t>
      </w:r>
      <w:r>
        <w:rPr>
          <w:spacing w:val="-4"/>
        </w:rPr>
        <w:t> </w:t>
      </w:r>
      <w:r>
        <w:rPr/>
        <w:t>the working</w:t>
      </w:r>
      <w:r>
        <w:rPr>
          <w:spacing w:val="-4"/>
        </w:rPr>
        <w:t> </w:t>
      </w:r>
      <w:r>
        <w:rPr/>
        <w:t>tariff,</w:t>
      </w:r>
      <w:r>
        <w:rPr>
          <w:spacing w:val="4"/>
        </w:rPr>
        <w:t> </w:t>
      </w:r>
      <w:r>
        <w:rPr/>
        <w:t>available on the Department’s website, to coincide with the scheduled commencement date </w:t>
      </w:r>
      <w:r>
        <w:rPr>
          <w:spacing w:val="-3"/>
        </w:rPr>
        <w:t>of </w:t>
      </w:r>
      <w:r>
        <w:rPr/>
        <w:t>1 July 2017. The working tariff can be accessed</w:t>
      </w:r>
      <w:r>
        <w:rPr>
          <w:spacing w:val="-14"/>
        </w:rPr>
        <w:t> </w:t>
      </w:r>
      <w:r>
        <w:rPr/>
        <w:t>at:</w:t>
      </w:r>
    </w:p>
    <w:p>
      <w:pPr>
        <w:pStyle w:val="BodyText"/>
        <w:spacing w:line="237" w:lineRule="auto" w:before="2"/>
        <w:ind w:left="1147" w:right="1638"/>
      </w:pPr>
      <w:hyperlink r:id="rId7">
        <w:r>
          <w:rPr>
            <w:color w:val="0000FF"/>
            <w:spacing w:val="-1"/>
            <w:u w:val="single" w:color="0000FF"/>
          </w:rPr>
          <w:t>http://www.border.gov.au/Busi/cargo-support-trade-and-goods/importing-goods/tariff-classification-of-</w:t>
        </w:r>
      </w:hyperlink>
      <w:r>
        <w:rPr>
          <w:color w:val="0000FF"/>
          <w:spacing w:val="-1"/>
        </w:rPr>
        <w:t> </w:t>
      </w:r>
      <w:hyperlink r:id="rId7">
        <w:r>
          <w:rPr>
            <w:color w:val="0000FF"/>
            <w:u w:val="single" w:color="0000FF"/>
          </w:rPr>
          <w:t>goods/current-tariff-classification</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4"/>
        </w:rPr>
      </w:pPr>
    </w:p>
    <w:p>
      <w:pPr>
        <w:tabs>
          <w:tab w:pos="7199" w:val="left" w:leader="none"/>
        </w:tabs>
        <w:spacing w:line="275" w:lineRule="exact" w:before="90"/>
        <w:ind w:left="1147" w:right="0" w:firstLine="0"/>
        <w:jc w:val="left"/>
        <w:rPr>
          <w:sz w:val="24"/>
        </w:rPr>
      </w:pPr>
      <w:r>
        <w:rPr>
          <w:sz w:val="24"/>
        </w:rPr>
        <w:t>(signed)</w:t>
        <w:tab/>
        <w:t>(signed)</w:t>
      </w:r>
    </w:p>
    <w:p>
      <w:pPr>
        <w:tabs>
          <w:tab w:pos="7199" w:val="left" w:leader="none"/>
        </w:tabs>
        <w:spacing w:line="275" w:lineRule="exact" w:before="0"/>
        <w:ind w:left="1147" w:right="0" w:firstLine="0"/>
        <w:jc w:val="left"/>
        <w:rPr>
          <w:sz w:val="24"/>
        </w:rPr>
      </w:pPr>
      <w:r>
        <w:rPr>
          <w:sz w:val="24"/>
        </w:rPr>
        <w:t>Joshua</w:t>
      </w:r>
      <w:r>
        <w:rPr>
          <w:spacing w:val="-1"/>
          <w:sz w:val="24"/>
        </w:rPr>
        <w:t> </w:t>
      </w:r>
      <w:r>
        <w:rPr>
          <w:sz w:val="24"/>
        </w:rPr>
        <w:t>Hutton</w:t>
        <w:tab/>
        <w:t>Ben</w:t>
      </w:r>
      <w:r>
        <w:rPr>
          <w:spacing w:val="-3"/>
          <w:sz w:val="24"/>
        </w:rPr>
        <w:t> </w:t>
      </w:r>
      <w:r>
        <w:rPr>
          <w:sz w:val="24"/>
        </w:rPr>
        <w:t>Hickey</w:t>
      </w:r>
    </w:p>
    <w:p>
      <w:pPr>
        <w:tabs>
          <w:tab w:pos="7199" w:val="left" w:leader="none"/>
        </w:tabs>
        <w:spacing w:line="275" w:lineRule="exact" w:before="3"/>
        <w:ind w:left="1147" w:right="0" w:firstLine="0"/>
        <w:jc w:val="left"/>
        <w:rPr>
          <w:sz w:val="24"/>
        </w:rPr>
      </w:pPr>
      <w:r>
        <w:rPr>
          <w:sz w:val="24"/>
        </w:rPr>
        <w:t>Acting</w:t>
      </w:r>
      <w:r>
        <w:rPr>
          <w:spacing w:val="2"/>
          <w:sz w:val="24"/>
        </w:rPr>
        <w:t> </w:t>
      </w:r>
      <w:r>
        <w:rPr>
          <w:sz w:val="24"/>
        </w:rPr>
        <w:t>Assistant</w:t>
      </w:r>
      <w:r>
        <w:rPr>
          <w:spacing w:val="2"/>
          <w:sz w:val="24"/>
        </w:rPr>
        <w:t> </w:t>
      </w:r>
      <w:r>
        <w:rPr>
          <w:sz w:val="24"/>
        </w:rPr>
        <w:t>Secretary</w:t>
        <w:tab/>
        <w:t>Acting</w:t>
      </w:r>
      <w:r>
        <w:rPr>
          <w:spacing w:val="1"/>
          <w:sz w:val="24"/>
        </w:rPr>
        <w:t> </w:t>
      </w:r>
      <w:r>
        <w:rPr>
          <w:sz w:val="24"/>
        </w:rPr>
        <w:t>Commander</w:t>
      </w:r>
    </w:p>
    <w:p>
      <w:pPr>
        <w:tabs>
          <w:tab w:pos="7199" w:val="left" w:leader="none"/>
        </w:tabs>
        <w:spacing w:line="275" w:lineRule="exact" w:before="0"/>
        <w:ind w:left="1147" w:right="0" w:firstLine="0"/>
        <w:jc w:val="left"/>
        <w:rPr>
          <w:sz w:val="24"/>
        </w:rPr>
      </w:pPr>
      <w:r>
        <w:rPr>
          <w:sz w:val="24"/>
        </w:rPr>
        <w:t>Trade and</w:t>
      </w:r>
      <w:r>
        <w:rPr>
          <w:spacing w:val="-1"/>
          <w:sz w:val="24"/>
        </w:rPr>
        <w:t> </w:t>
      </w:r>
      <w:r>
        <w:rPr>
          <w:sz w:val="24"/>
        </w:rPr>
        <w:t>Customs</w:t>
      </w:r>
      <w:r>
        <w:rPr>
          <w:spacing w:val="-2"/>
          <w:sz w:val="24"/>
        </w:rPr>
        <w:t> </w:t>
      </w:r>
      <w:r>
        <w:rPr>
          <w:sz w:val="24"/>
        </w:rPr>
        <w:t>Branch</w:t>
        <w:tab/>
        <w:t>Customs Compliance</w:t>
      </w:r>
      <w:r>
        <w:rPr>
          <w:spacing w:val="1"/>
          <w:sz w:val="24"/>
        </w:rPr>
        <w:t> </w:t>
      </w:r>
      <w:r>
        <w:rPr>
          <w:sz w:val="24"/>
        </w:rPr>
        <w:t>Branch</w:t>
      </w:r>
    </w:p>
    <w:p>
      <w:pPr>
        <w:tabs>
          <w:tab w:pos="7262" w:val="left" w:leader="none"/>
        </w:tabs>
        <w:spacing w:before="2"/>
        <w:ind w:left="1147" w:right="0" w:firstLine="0"/>
        <w:jc w:val="left"/>
        <w:rPr>
          <w:sz w:val="24"/>
        </w:rPr>
      </w:pPr>
      <w:r>
        <w:rPr>
          <w:sz w:val="24"/>
        </w:rPr>
        <w:t>21 June</w:t>
      </w:r>
      <w:r>
        <w:rPr>
          <w:spacing w:val="-1"/>
          <w:sz w:val="24"/>
        </w:rPr>
        <w:t> </w:t>
      </w:r>
      <w:r>
        <w:rPr>
          <w:sz w:val="24"/>
        </w:rPr>
        <w:t>2017</w:t>
        <w:tab/>
        <w:t>21 June</w:t>
      </w:r>
      <w:r>
        <w:rPr>
          <w:spacing w:val="2"/>
          <w:sz w:val="24"/>
        </w:rPr>
        <w:t> </w:t>
      </w:r>
      <w:r>
        <w:rPr>
          <w:sz w:val="24"/>
        </w:rPr>
        <w:t>2017</w:t>
      </w:r>
    </w:p>
    <w:p>
      <w:pPr>
        <w:spacing w:after="0"/>
        <w:jc w:val="left"/>
        <w:rPr>
          <w:sz w:val="24"/>
        </w:rPr>
        <w:sectPr>
          <w:pgSz w:w="11910" w:h="16840"/>
          <w:pgMar w:top="640" w:bottom="280" w:left="0" w:right="0"/>
        </w:sectPr>
      </w:pPr>
    </w:p>
    <w:p>
      <w:pPr>
        <w:spacing w:before="72"/>
        <w:ind w:left="0" w:right="1130" w:firstLine="0"/>
        <w:jc w:val="right"/>
        <w:rPr>
          <w:b/>
          <w:sz w:val="24"/>
        </w:rPr>
      </w:pPr>
      <w:r>
        <w:rPr>
          <w:b/>
          <w:sz w:val="24"/>
        </w:rPr>
        <w:t>Attachment A</w:t>
      </w:r>
    </w:p>
    <w:p>
      <w:pPr>
        <w:pStyle w:val="BodyText"/>
        <w:spacing w:before="2"/>
        <w:rPr>
          <w:b/>
          <w:sz w:val="16"/>
        </w:rPr>
      </w:pPr>
    </w:p>
    <w:p>
      <w:pPr>
        <w:spacing w:before="90"/>
        <w:ind w:left="1147" w:right="0" w:firstLine="0"/>
        <w:jc w:val="left"/>
        <w:rPr>
          <w:b/>
          <w:sz w:val="24"/>
        </w:rPr>
      </w:pPr>
      <w:r>
        <w:rPr>
          <w:b/>
          <w:sz w:val="24"/>
        </w:rPr>
        <w:t>1 July 2017 customs duty rate phase down</w:t>
      </w:r>
    </w:p>
    <w:p>
      <w:pPr>
        <w:pStyle w:val="BodyText"/>
        <w:spacing w:before="3"/>
        <w:rPr>
          <w:b/>
          <w:sz w:val="24"/>
        </w:rPr>
      </w:pPr>
    </w:p>
    <w:tbl>
      <w:tblPr>
        <w:tblW w:w="0" w:type="auto"/>
        <w:jc w:val="left"/>
        <w:tblInd w:w="1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9"/>
        <w:gridCol w:w="3969"/>
      </w:tblGrid>
      <w:tr>
        <w:trPr>
          <w:trHeight w:val="556" w:hRule="atLeast"/>
        </w:trPr>
        <w:tc>
          <w:tcPr>
            <w:tcW w:w="3259" w:type="dxa"/>
          </w:tcPr>
          <w:p>
            <w:pPr>
              <w:pStyle w:val="TableParagraph"/>
              <w:spacing w:line="240" w:lineRule="auto" w:before="1"/>
              <w:rPr>
                <w:b/>
                <w:sz w:val="24"/>
              </w:rPr>
            </w:pPr>
            <w:r>
              <w:rPr>
                <w:b/>
                <w:sz w:val="24"/>
              </w:rPr>
              <w:t>Customs tariff Subheading</w:t>
            </w:r>
          </w:p>
        </w:tc>
        <w:tc>
          <w:tcPr>
            <w:tcW w:w="3969" w:type="dxa"/>
          </w:tcPr>
          <w:p>
            <w:pPr>
              <w:pStyle w:val="TableParagraph"/>
              <w:spacing w:line="274" w:lineRule="exact" w:before="6"/>
              <w:ind w:right="354"/>
              <w:rPr>
                <w:b/>
                <w:sz w:val="24"/>
              </w:rPr>
            </w:pPr>
            <w:r>
              <w:rPr>
                <w:b/>
                <w:sz w:val="24"/>
              </w:rPr>
              <w:t>Customs duty rate operative from 1 July 2017</w:t>
            </w:r>
          </w:p>
        </w:tc>
      </w:tr>
      <w:tr>
        <w:trPr>
          <w:trHeight w:val="551" w:hRule="atLeast"/>
        </w:trPr>
        <w:tc>
          <w:tcPr>
            <w:tcW w:w="3259" w:type="dxa"/>
          </w:tcPr>
          <w:p>
            <w:pPr>
              <w:pStyle w:val="TableParagraph"/>
              <w:spacing w:line="268" w:lineRule="exact"/>
              <w:rPr>
                <w:sz w:val="24"/>
              </w:rPr>
            </w:pPr>
            <w:r>
              <w:rPr>
                <w:sz w:val="24"/>
              </w:rPr>
              <w:t>8443.91.10</w:t>
            </w:r>
          </w:p>
        </w:tc>
        <w:tc>
          <w:tcPr>
            <w:tcW w:w="3969" w:type="dxa"/>
          </w:tcPr>
          <w:p>
            <w:pPr>
              <w:pStyle w:val="TableParagraph"/>
              <w:spacing w:line="267" w:lineRule="exact"/>
              <w:ind w:left="0" w:right="94"/>
              <w:jc w:val="right"/>
              <w:rPr>
                <w:sz w:val="24"/>
              </w:rPr>
            </w:pPr>
            <w:r>
              <w:rPr>
                <w:sz w:val="24"/>
              </w:rPr>
              <w:t>2.5%</w:t>
            </w:r>
          </w:p>
          <w:p>
            <w:pPr>
              <w:pStyle w:val="TableParagraph"/>
              <w:spacing w:line="265" w:lineRule="exact"/>
              <w:ind w:left="0" w:right="101"/>
              <w:jc w:val="right"/>
              <w:rPr>
                <w:sz w:val="24"/>
              </w:rPr>
            </w:pPr>
            <w:r>
              <w:rPr>
                <w:spacing w:val="-3"/>
                <w:sz w:val="24"/>
              </w:rPr>
              <w:t>CA:</w:t>
            </w:r>
            <w:r>
              <w:rPr>
                <w:spacing w:val="3"/>
                <w:sz w:val="24"/>
              </w:rPr>
              <w:t> </w:t>
            </w:r>
            <w:r>
              <w:rPr>
                <w:sz w:val="24"/>
              </w:rPr>
              <w:t>Free</w:t>
            </w:r>
          </w:p>
        </w:tc>
      </w:tr>
      <w:tr>
        <w:trPr>
          <w:trHeight w:val="273" w:hRule="atLeast"/>
        </w:trPr>
        <w:tc>
          <w:tcPr>
            <w:tcW w:w="3259" w:type="dxa"/>
          </w:tcPr>
          <w:p>
            <w:pPr>
              <w:pStyle w:val="TableParagraph"/>
              <w:rPr>
                <w:sz w:val="24"/>
              </w:rPr>
            </w:pPr>
            <w:r>
              <w:rPr>
                <w:sz w:val="24"/>
              </w:rPr>
              <w:t>8472.90.10</w:t>
            </w:r>
          </w:p>
        </w:tc>
        <w:tc>
          <w:tcPr>
            <w:tcW w:w="3969" w:type="dxa"/>
          </w:tcPr>
          <w:p>
            <w:pPr>
              <w:pStyle w:val="TableParagraph"/>
              <w:ind w:left="0" w:right="94"/>
              <w:jc w:val="right"/>
              <w:rPr>
                <w:sz w:val="24"/>
              </w:rPr>
            </w:pPr>
            <w:r>
              <w:rPr>
                <w:sz w:val="24"/>
              </w:rPr>
              <w:t>2.5%</w:t>
            </w:r>
          </w:p>
        </w:tc>
      </w:tr>
      <w:tr>
        <w:trPr>
          <w:trHeight w:val="277" w:hRule="atLeast"/>
        </w:trPr>
        <w:tc>
          <w:tcPr>
            <w:tcW w:w="3259" w:type="dxa"/>
          </w:tcPr>
          <w:p>
            <w:pPr>
              <w:pStyle w:val="TableParagraph"/>
              <w:spacing w:line="258" w:lineRule="exact"/>
              <w:rPr>
                <w:sz w:val="24"/>
              </w:rPr>
            </w:pPr>
            <w:r>
              <w:rPr>
                <w:sz w:val="24"/>
              </w:rPr>
              <w:t>8486.20.40</w:t>
            </w:r>
          </w:p>
        </w:tc>
        <w:tc>
          <w:tcPr>
            <w:tcW w:w="3969" w:type="dxa"/>
          </w:tcPr>
          <w:p>
            <w:pPr>
              <w:pStyle w:val="TableParagraph"/>
              <w:spacing w:line="258" w:lineRule="exact"/>
              <w:ind w:left="0" w:right="94"/>
              <w:jc w:val="right"/>
              <w:rPr>
                <w:sz w:val="24"/>
              </w:rPr>
            </w:pPr>
            <w:r>
              <w:rPr>
                <w:sz w:val="24"/>
              </w:rPr>
              <w:t>2.5%</w:t>
            </w:r>
          </w:p>
        </w:tc>
      </w:tr>
      <w:tr>
        <w:trPr>
          <w:trHeight w:val="273" w:hRule="atLeast"/>
        </w:trPr>
        <w:tc>
          <w:tcPr>
            <w:tcW w:w="3259" w:type="dxa"/>
          </w:tcPr>
          <w:p>
            <w:pPr>
              <w:pStyle w:val="TableParagraph"/>
              <w:rPr>
                <w:sz w:val="24"/>
              </w:rPr>
            </w:pPr>
            <w:r>
              <w:rPr>
                <w:sz w:val="24"/>
              </w:rPr>
              <w:t>8486.30.40</w:t>
            </w:r>
          </w:p>
        </w:tc>
        <w:tc>
          <w:tcPr>
            <w:tcW w:w="3969" w:type="dxa"/>
          </w:tcPr>
          <w:p>
            <w:pPr>
              <w:pStyle w:val="TableParagraph"/>
              <w:ind w:left="0" w:right="94"/>
              <w:jc w:val="right"/>
              <w:rPr>
                <w:sz w:val="24"/>
              </w:rPr>
            </w:pPr>
            <w:r>
              <w:rPr>
                <w:sz w:val="24"/>
              </w:rPr>
              <w:t>2.5%</w:t>
            </w:r>
          </w:p>
        </w:tc>
      </w:tr>
      <w:tr>
        <w:trPr>
          <w:trHeight w:val="278" w:hRule="atLeast"/>
        </w:trPr>
        <w:tc>
          <w:tcPr>
            <w:tcW w:w="3259" w:type="dxa"/>
          </w:tcPr>
          <w:p>
            <w:pPr>
              <w:pStyle w:val="TableParagraph"/>
              <w:spacing w:line="258" w:lineRule="exact"/>
              <w:rPr>
                <w:sz w:val="24"/>
              </w:rPr>
            </w:pPr>
            <w:r>
              <w:rPr>
                <w:sz w:val="24"/>
              </w:rPr>
              <w:t>8486.40.91</w:t>
            </w:r>
          </w:p>
        </w:tc>
        <w:tc>
          <w:tcPr>
            <w:tcW w:w="3969" w:type="dxa"/>
          </w:tcPr>
          <w:p>
            <w:pPr>
              <w:pStyle w:val="TableParagraph"/>
              <w:spacing w:line="258" w:lineRule="exact"/>
              <w:ind w:left="0" w:right="94"/>
              <w:jc w:val="right"/>
              <w:rPr>
                <w:sz w:val="24"/>
              </w:rPr>
            </w:pPr>
            <w:r>
              <w:rPr>
                <w:sz w:val="24"/>
              </w:rPr>
              <w:t>2.5%</w:t>
            </w:r>
          </w:p>
        </w:tc>
      </w:tr>
      <w:tr>
        <w:trPr>
          <w:trHeight w:val="277" w:hRule="atLeast"/>
        </w:trPr>
        <w:tc>
          <w:tcPr>
            <w:tcW w:w="3259" w:type="dxa"/>
          </w:tcPr>
          <w:p>
            <w:pPr>
              <w:pStyle w:val="TableParagraph"/>
              <w:spacing w:line="258" w:lineRule="exact"/>
              <w:rPr>
                <w:sz w:val="24"/>
              </w:rPr>
            </w:pPr>
            <w:r>
              <w:rPr>
                <w:sz w:val="24"/>
              </w:rPr>
              <w:t>8486.90.91</w:t>
            </w:r>
          </w:p>
        </w:tc>
        <w:tc>
          <w:tcPr>
            <w:tcW w:w="3969" w:type="dxa"/>
          </w:tcPr>
          <w:p>
            <w:pPr>
              <w:pStyle w:val="TableParagraph"/>
              <w:spacing w:line="258" w:lineRule="exact"/>
              <w:ind w:left="0" w:right="94"/>
              <w:jc w:val="right"/>
              <w:rPr>
                <w:sz w:val="24"/>
              </w:rPr>
            </w:pPr>
            <w:r>
              <w:rPr>
                <w:sz w:val="24"/>
              </w:rPr>
              <w:t>2.5%</w:t>
            </w:r>
          </w:p>
        </w:tc>
      </w:tr>
      <w:tr>
        <w:trPr>
          <w:trHeight w:val="273" w:hRule="atLeast"/>
        </w:trPr>
        <w:tc>
          <w:tcPr>
            <w:tcW w:w="3259" w:type="dxa"/>
          </w:tcPr>
          <w:p>
            <w:pPr>
              <w:pStyle w:val="TableParagraph"/>
              <w:rPr>
                <w:sz w:val="24"/>
              </w:rPr>
            </w:pPr>
            <w:r>
              <w:rPr>
                <w:sz w:val="24"/>
              </w:rPr>
              <w:t>8486.90.93</w:t>
            </w:r>
          </w:p>
        </w:tc>
        <w:tc>
          <w:tcPr>
            <w:tcW w:w="3969" w:type="dxa"/>
          </w:tcPr>
          <w:p>
            <w:pPr>
              <w:pStyle w:val="TableParagraph"/>
              <w:ind w:left="0" w:right="94"/>
              <w:jc w:val="right"/>
              <w:rPr>
                <w:sz w:val="24"/>
              </w:rPr>
            </w:pPr>
            <w:r>
              <w:rPr>
                <w:sz w:val="24"/>
              </w:rPr>
              <w:t>2.5%</w:t>
            </w:r>
          </w:p>
        </w:tc>
      </w:tr>
      <w:tr>
        <w:trPr>
          <w:trHeight w:val="277" w:hRule="atLeast"/>
        </w:trPr>
        <w:tc>
          <w:tcPr>
            <w:tcW w:w="3259" w:type="dxa"/>
          </w:tcPr>
          <w:p>
            <w:pPr>
              <w:pStyle w:val="TableParagraph"/>
              <w:spacing w:line="258" w:lineRule="exact"/>
              <w:rPr>
                <w:sz w:val="24"/>
              </w:rPr>
            </w:pPr>
            <w:r>
              <w:rPr>
                <w:sz w:val="24"/>
              </w:rPr>
              <w:t>9001.90.10</w:t>
            </w:r>
          </w:p>
        </w:tc>
        <w:tc>
          <w:tcPr>
            <w:tcW w:w="3969" w:type="dxa"/>
          </w:tcPr>
          <w:p>
            <w:pPr>
              <w:pStyle w:val="TableParagraph"/>
              <w:spacing w:line="258" w:lineRule="exact"/>
              <w:ind w:left="0" w:right="94"/>
              <w:jc w:val="right"/>
              <w:rPr>
                <w:sz w:val="24"/>
              </w:rPr>
            </w:pPr>
            <w:r>
              <w:rPr>
                <w:sz w:val="24"/>
              </w:rPr>
              <w:t>2.5%</w:t>
            </w:r>
          </w:p>
        </w:tc>
      </w:tr>
      <w:tr>
        <w:trPr>
          <w:trHeight w:val="273" w:hRule="atLeast"/>
        </w:trPr>
        <w:tc>
          <w:tcPr>
            <w:tcW w:w="3259" w:type="dxa"/>
          </w:tcPr>
          <w:p>
            <w:pPr>
              <w:pStyle w:val="TableParagraph"/>
              <w:rPr>
                <w:sz w:val="24"/>
              </w:rPr>
            </w:pPr>
            <w:r>
              <w:rPr>
                <w:sz w:val="24"/>
              </w:rPr>
              <w:t>9028.30.00</w:t>
            </w:r>
          </w:p>
        </w:tc>
        <w:tc>
          <w:tcPr>
            <w:tcW w:w="3969" w:type="dxa"/>
          </w:tcPr>
          <w:p>
            <w:pPr>
              <w:pStyle w:val="TableParagraph"/>
              <w:ind w:left="0" w:right="94"/>
              <w:jc w:val="right"/>
              <w:rPr>
                <w:sz w:val="24"/>
              </w:rPr>
            </w:pPr>
            <w:r>
              <w:rPr>
                <w:sz w:val="24"/>
              </w:rPr>
              <w:t>2.5%</w:t>
            </w:r>
          </w:p>
        </w:tc>
      </w:tr>
    </w:tbl>
    <w:p>
      <w:pPr>
        <w:spacing w:after="0"/>
        <w:jc w:val="right"/>
        <w:rPr>
          <w:sz w:val="24"/>
        </w:rPr>
        <w:sectPr>
          <w:pgSz w:w="11910" w:h="16840"/>
          <w:pgMar w:top="900" w:bottom="280" w:left="0" w:right="0"/>
        </w:sectPr>
      </w:pPr>
    </w:p>
    <w:p>
      <w:pPr>
        <w:spacing w:before="78"/>
        <w:ind w:left="0" w:right="1129" w:firstLine="0"/>
        <w:jc w:val="right"/>
        <w:rPr>
          <w:b/>
          <w:sz w:val="24"/>
        </w:rPr>
      </w:pPr>
      <w:r>
        <w:rPr>
          <w:b/>
          <w:sz w:val="24"/>
        </w:rPr>
        <w:t>Attachment B</w:t>
      </w:r>
    </w:p>
    <w:p>
      <w:pPr>
        <w:pStyle w:val="BodyText"/>
        <w:spacing w:before="2"/>
        <w:rPr>
          <w:b/>
          <w:sz w:val="16"/>
        </w:rPr>
      </w:pPr>
    </w:p>
    <w:p>
      <w:pPr>
        <w:spacing w:before="90"/>
        <w:ind w:left="1147" w:right="0" w:firstLine="0"/>
        <w:jc w:val="left"/>
        <w:rPr>
          <w:b/>
          <w:sz w:val="24"/>
        </w:rPr>
      </w:pPr>
      <w:r>
        <w:rPr>
          <w:b/>
          <w:sz w:val="24"/>
        </w:rPr>
        <w:t>New Additional Notes</w:t>
      </w:r>
    </w:p>
    <w:p>
      <w:pPr>
        <w:pStyle w:val="BodyText"/>
        <w:spacing w:before="4"/>
        <w:rPr>
          <w:b/>
          <w:sz w:val="24"/>
        </w:rPr>
      </w:pPr>
    </w:p>
    <w:p>
      <w:pPr>
        <w:pStyle w:val="Heading1"/>
        <w:rPr>
          <w:u w:val="none"/>
        </w:rPr>
      </w:pPr>
      <w:r>
        <w:rPr>
          <w:u w:val="single"/>
        </w:rPr>
        <w:t>Schedule 3, Chapter 7</w:t>
      </w:r>
    </w:p>
    <w:p>
      <w:pPr>
        <w:pStyle w:val="BodyText"/>
        <w:spacing w:before="7"/>
        <w:rPr>
          <w:b/>
          <w:sz w:val="15"/>
        </w:rPr>
      </w:pPr>
    </w:p>
    <w:p>
      <w:pPr>
        <w:pStyle w:val="BodyText"/>
        <w:spacing w:before="91"/>
        <w:ind w:left="1147"/>
      </w:pPr>
      <w:r>
        <w:rPr/>
        <w:t>Additional Note.</w:t>
      </w:r>
    </w:p>
    <w:p>
      <w:pPr>
        <w:pStyle w:val="BodyText"/>
        <w:spacing w:before="10"/>
        <w:rPr>
          <w:sz w:val="23"/>
        </w:rPr>
      </w:pPr>
    </w:p>
    <w:p>
      <w:pPr>
        <w:pStyle w:val="BodyText"/>
        <w:tabs>
          <w:tab w:pos="1713" w:val="left" w:leader="none"/>
        </w:tabs>
        <w:spacing w:before="1"/>
        <w:ind w:left="1713" w:right="1870" w:hanging="567"/>
      </w:pPr>
      <w:r>
        <w:rPr/>
        <w:t>1.-</w:t>
        <w:tab/>
        <w:t>0711 covers vegetables which have been treated solely to ensure their provisional preservation during transport </w:t>
      </w:r>
      <w:r>
        <w:rPr>
          <w:spacing w:val="-3"/>
        </w:rPr>
        <w:t>or </w:t>
      </w:r>
      <w:r>
        <w:rPr/>
        <w:t>storage prior to use, provided they remain unsuitable in that state </w:t>
      </w:r>
      <w:r>
        <w:rPr>
          <w:spacing w:val="-3"/>
        </w:rPr>
        <w:t>for </w:t>
      </w:r>
      <w:r>
        <w:rPr/>
        <w:t>immediate</w:t>
      </w:r>
      <w:r>
        <w:rPr>
          <w:spacing w:val="-6"/>
        </w:rPr>
        <w:t> </w:t>
      </w:r>
      <w:r>
        <w:rPr/>
        <w:t>consumption.</w:t>
      </w:r>
    </w:p>
    <w:p>
      <w:pPr>
        <w:pStyle w:val="BodyText"/>
        <w:spacing w:before="5"/>
      </w:pPr>
    </w:p>
    <w:p>
      <w:pPr>
        <w:pStyle w:val="Heading1"/>
        <w:rPr>
          <w:u w:val="none"/>
        </w:rPr>
      </w:pPr>
      <w:r>
        <w:rPr>
          <w:u w:val="single"/>
        </w:rPr>
        <w:t>Schedule 3, Chapter 8</w:t>
      </w:r>
    </w:p>
    <w:p>
      <w:pPr>
        <w:pStyle w:val="BodyText"/>
        <w:spacing w:before="5"/>
        <w:rPr>
          <w:b/>
          <w:sz w:val="13"/>
        </w:rPr>
      </w:pPr>
    </w:p>
    <w:p>
      <w:pPr>
        <w:pStyle w:val="BodyText"/>
        <w:spacing w:before="92"/>
        <w:ind w:left="1147"/>
      </w:pPr>
      <w:r>
        <w:rPr/>
        <w:t>Additional Note.</w:t>
      </w:r>
    </w:p>
    <w:p>
      <w:pPr>
        <w:pStyle w:val="BodyText"/>
        <w:spacing w:before="3"/>
      </w:pPr>
    </w:p>
    <w:p>
      <w:pPr>
        <w:pStyle w:val="BodyText"/>
        <w:tabs>
          <w:tab w:pos="1713" w:val="left" w:leader="none"/>
        </w:tabs>
        <w:ind w:left="1713" w:right="2087" w:hanging="567"/>
      </w:pPr>
      <w:r>
        <w:rPr/>
        <w:t>1.-</w:t>
        <w:tab/>
        <w:t>0812 covers fruit and nuts which have been treated solely to ensure their provisional preservation during transport </w:t>
      </w:r>
      <w:r>
        <w:rPr>
          <w:spacing w:val="-3"/>
        </w:rPr>
        <w:t>or </w:t>
      </w:r>
      <w:r>
        <w:rPr/>
        <w:t>storage prior to use, provided they remain unsuitable in that state </w:t>
      </w:r>
      <w:r>
        <w:rPr>
          <w:spacing w:val="-3"/>
        </w:rPr>
        <w:t>for </w:t>
      </w:r>
      <w:r>
        <w:rPr/>
        <w:t>immediate</w:t>
      </w:r>
      <w:r>
        <w:rPr>
          <w:spacing w:val="-3"/>
        </w:rPr>
        <w:t> </w:t>
      </w:r>
      <w:r>
        <w:rPr/>
        <w:t>consumption.</w:t>
      </w:r>
    </w:p>
    <w:p>
      <w:pPr>
        <w:pStyle w:val="BodyText"/>
        <w:spacing w:before="5"/>
      </w:pPr>
    </w:p>
    <w:p>
      <w:pPr>
        <w:pStyle w:val="Heading1"/>
        <w:spacing w:before="1"/>
        <w:rPr>
          <w:u w:val="none"/>
        </w:rPr>
      </w:pPr>
      <w:r>
        <w:rPr>
          <w:u w:val="single"/>
        </w:rPr>
        <w:t>Schedule 3, Chapter 19</w:t>
      </w:r>
    </w:p>
    <w:p>
      <w:pPr>
        <w:pStyle w:val="BodyText"/>
        <w:spacing w:before="5"/>
        <w:rPr>
          <w:b/>
          <w:sz w:val="13"/>
        </w:rPr>
      </w:pPr>
    </w:p>
    <w:p>
      <w:pPr>
        <w:pStyle w:val="BodyText"/>
        <w:spacing w:before="91"/>
        <w:ind w:left="1147"/>
      </w:pPr>
      <w:r>
        <w:rPr/>
        <w:t>Additional Note.</w:t>
      </w:r>
    </w:p>
    <w:p>
      <w:pPr>
        <w:pStyle w:val="BodyText"/>
        <w:spacing w:before="2"/>
        <w:rPr>
          <w:sz w:val="20"/>
        </w:rPr>
      </w:pPr>
    </w:p>
    <w:p>
      <w:pPr>
        <w:pStyle w:val="BodyText"/>
        <w:tabs>
          <w:tab w:pos="1713" w:val="left" w:leader="none"/>
        </w:tabs>
        <w:ind w:left="1713" w:right="1974" w:hanging="567"/>
      </w:pPr>
      <w:r>
        <w:rPr/>
        <w:t>1.-</w:t>
        <w:tab/>
        <w:t>For the purposes </w:t>
      </w:r>
      <w:r>
        <w:rPr>
          <w:spacing w:val="-3"/>
        </w:rPr>
        <w:t>of </w:t>
      </w:r>
      <w:r>
        <w:rPr/>
        <w:t>1902, “pasta” includes kneaded noodle dough formed into sheets </w:t>
      </w:r>
      <w:r>
        <w:rPr>
          <w:spacing w:val="-3"/>
        </w:rPr>
        <w:t>or </w:t>
      </w:r>
      <w:r>
        <w:rPr/>
        <w:t>other specific shapes (for example, rice noodles, wonton skins, Udon noodles and buckwheat noodles), whether </w:t>
      </w:r>
      <w:r>
        <w:rPr>
          <w:spacing w:val="-3"/>
        </w:rPr>
        <w:t>or </w:t>
      </w:r>
      <w:r>
        <w:rPr>
          <w:spacing w:val="-4"/>
        </w:rPr>
        <w:t>not </w:t>
      </w:r>
      <w:r>
        <w:rPr/>
        <w:t>cooked </w:t>
      </w:r>
      <w:r>
        <w:rPr>
          <w:spacing w:val="-3"/>
        </w:rPr>
        <w:t>or </w:t>
      </w:r>
      <w:r>
        <w:rPr/>
        <w:t>stuffed </w:t>
      </w:r>
      <w:r>
        <w:rPr>
          <w:spacing w:val="-3"/>
        </w:rPr>
        <w:t>or </w:t>
      </w:r>
      <w:r>
        <w:rPr/>
        <w:t>otherwise</w:t>
      </w:r>
      <w:r>
        <w:rPr>
          <w:spacing w:val="31"/>
        </w:rPr>
        <w:t> </w:t>
      </w:r>
      <w:r>
        <w:rPr/>
        <w:t>prepared.</w:t>
      </w:r>
    </w:p>
    <w:sectPr>
      <w:pgSz w:w="11910" w:h="16840"/>
      <w:pgMar w:top="6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40" w:hanging="361"/>
      </w:pPr>
      <w:rPr>
        <w:rFonts w:hint="default" w:ascii="Arial" w:hAnsi="Arial" w:eastAsia="Arial" w:cs="Arial"/>
        <w:w w:val="131"/>
        <w:sz w:val="22"/>
        <w:szCs w:val="22"/>
        <w:lang w:val="en-au" w:eastAsia="en-US" w:bidi="ar-SA"/>
      </w:rPr>
    </w:lvl>
    <w:lvl w:ilvl="1">
      <w:start w:val="0"/>
      <w:numFmt w:val="bullet"/>
      <w:lvlText w:val="•"/>
      <w:lvlJc w:val="left"/>
      <w:pPr>
        <w:ind w:left="2486" w:hanging="361"/>
      </w:pPr>
      <w:rPr>
        <w:rFonts w:hint="default"/>
        <w:lang w:val="en-au" w:eastAsia="en-US" w:bidi="ar-SA"/>
      </w:rPr>
    </w:lvl>
    <w:lvl w:ilvl="2">
      <w:start w:val="0"/>
      <w:numFmt w:val="bullet"/>
      <w:lvlText w:val="•"/>
      <w:lvlJc w:val="left"/>
      <w:pPr>
        <w:ind w:left="3532" w:hanging="361"/>
      </w:pPr>
      <w:rPr>
        <w:rFonts w:hint="default"/>
        <w:lang w:val="en-au" w:eastAsia="en-US" w:bidi="ar-SA"/>
      </w:rPr>
    </w:lvl>
    <w:lvl w:ilvl="3">
      <w:start w:val="0"/>
      <w:numFmt w:val="bullet"/>
      <w:lvlText w:val="•"/>
      <w:lvlJc w:val="left"/>
      <w:pPr>
        <w:ind w:left="4579" w:hanging="361"/>
      </w:pPr>
      <w:rPr>
        <w:rFonts w:hint="default"/>
        <w:lang w:val="en-au" w:eastAsia="en-US" w:bidi="ar-SA"/>
      </w:rPr>
    </w:lvl>
    <w:lvl w:ilvl="4">
      <w:start w:val="0"/>
      <w:numFmt w:val="bullet"/>
      <w:lvlText w:val="•"/>
      <w:lvlJc w:val="left"/>
      <w:pPr>
        <w:ind w:left="5625" w:hanging="361"/>
      </w:pPr>
      <w:rPr>
        <w:rFonts w:hint="default"/>
        <w:lang w:val="en-au" w:eastAsia="en-US" w:bidi="ar-SA"/>
      </w:rPr>
    </w:lvl>
    <w:lvl w:ilvl="5">
      <w:start w:val="0"/>
      <w:numFmt w:val="bullet"/>
      <w:lvlText w:val="•"/>
      <w:lvlJc w:val="left"/>
      <w:pPr>
        <w:ind w:left="6672" w:hanging="361"/>
      </w:pPr>
      <w:rPr>
        <w:rFonts w:hint="default"/>
        <w:lang w:val="en-au" w:eastAsia="en-US" w:bidi="ar-SA"/>
      </w:rPr>
    </w:lvl>
    <w:lvl w:ilvl="6">
      <w:start w:val="0"/>
      <w:numFmt w:val="bullet"/>
      <w:lvlText w:val="•"/>
      <w:lvlJc w:val="left"/>
      <w:pPr>
        <w:ind w:left="7718" w:hanging="361"/>
      </w:pPr>
      <w:rPr>
        <w:rFonts w:hint="default"/>
        <w:lang w:val="en-au" w:eastAsia="en-US" w:bidi="ar-SA"/>
      </w:rPr>
    </w:lvl>
    <w:lvl w:ilvl="7">
      <w:start w:val="0"/>
      <w:numFmt w:val="bullet"/>
      <w:lvlText w:val="•"/>
      <w:lvlJc w:val="left"/>
      <w:pPr>
        <w:ind w:left="8764" w:hanging="361"/>
      </w:pPr>
      <w:rPr>
        <w:rFonts w:hint="default"/>
        <w:lang w:val="en-au" w:eastAsia="en-US" w:bidi="ar-SA"/>
      </w:rPr>
    </w:lvl>
    <w:lvl w:ilvl="8">
      <w:start w:val="0"/>
      <w:numFmt w:val="bullet"/>
      <w:lvlText w:val="•"/>
      <w:lvlJc w:val="left"/>
      <w:pPr>
        <w:ind w:left="9811" w:hanging="361"/>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au" w:eastAsia="en-US" w:bidi="ar-SA"/>
    </w:rPr>
  </w:style>
  <w:style w:styleId="Heading1" w:type="paragraph">
    <w:name w:val="Heading 1"/>
    <w:basedOn w:val="Normal"/>
    <w:uiPriority w:val="1"/>
    <w:qFormat/>
    <w:pPr>
      <w:ind w:left="1147"/>
      <w:outlineLvl w:val="1"/>
    </w:pPr>
    <w:rPr>
      <w:rFonts w:ascii="Times New Roman" w:hAnsi="Times New Roman" w:eastAsia="Times New Roman" w:cs="Times New Roman"/>
      <w:b/>
      <w:bCs/>
      <w:sz w:val="22"/>
      <w:szCs w:val="22"/>
      <w:u w:val="single" w:color="000000"/>
      <w:lang w:val="en-au" w:eastAsia="en-US" w:bidi="ar-SA"/>
    </w:rPr>
  </w:style>
  <w:style w:styleId="Title" w:type="paragraph">
    <w:name w:val="Title"/>
    <w:basedOn w:val="Normal"/>
    <w:uiPriority w:val="1"/>
    <w:qFormat/>
    <w:pPr>
      <w:spacing w:before="90"/>
      <w:ind w:left="1032"/>
    </w:pPr>
    <w:rPr>
      <w:rFonts w:ascii="Arial" w:hAnsi="Arial" w:eastAsia="Arial" w:cs="Arial"/>
      <w:b/>
      <w:bCs/>
      <w:sz w:val="28"/>
      <w:szCs w:val="28"/>
      <w:lang w:val="en-au" w:eastAsia="en-US" w:bidi="ar-SA"/>
    </w:rPr>
  </w:style>
  <w:style w:styleId="ListParagraph" w:type="paragraph">
    <w:name w:val="List Paragraph"/>
    <w:basedOn w:val="Normal"/>
    <w:uiPriority w:val="1"/>
    <w:qFormat/>
    <w:pPr>
      <w:ind w:left="1440" w:right="1293" w:hanging="361"/>
    </w:pPr>
    <w:rPr>
      <w:rFonts w:ascii="Times New Roman" w:hAnsi="Times New Roman" w:eastAsia="Times New Roman" w:cs="Times New Roman"/>
      <w:lang w:val="en-au" w:eastAsia="en-US" w:bidi="ar-SA"/>
    </w:rPr>
  </w:style>
  <w:style w:styleId="TableParagraph" w:type="paragraph">
    <w:name w:val="Table Paragraph"/>
    <w:basedOn w:val="Normal"/>
    <w:uiPriority w:val="1"/>
    <w:qFormat/>
    <w:pPr>
      <w:spacing w:line="253" w:lineRule="exact"/>
      <w:ind w:left="105"/>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tradepolicy1@border.gov.au" TargetMode="External"/><Relationship Id="rId7" Type="http://schemas.openxmlformats.org/officeDocument/2006/relationships/hyperlink" Target="http://www.border.gov.au/Busi/cargo-support-trade-and-goods/importing-goods/tariff-classification-of-goods/current-tariff-classification"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Statistical codes; Schedule 1; Customs Tariff Act 1995; Customs Tariff Regulation 2004; Section 16A; Thailand; Forum Island Countries; Cook Islands; Fiji; Micronesia; Marshall Islands; Nauru; Niue; Vanuata; Tonga</cp:keywords>
  <dc:subject>1 July changes</dc:subject>
  <dc:title>Statistical Code, Duty Rate and Other Changes for 1 july 2017</dc:title>
  <dcterms:created xsi:type="dcterms:W3CDTF">2020-12-09T23:03:02Z</dcterms:created>
  <dcterms:modified xsi:type="dcterms:W3CDTF">2020-12-09T23:03:02Z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2017-06-22T00:00:00Z</vt:filetime>
  </property>
  <property fmtid="{D5CDD505-2E9C-101B-9397-08002B2CF9AE}" pid="3" name="Creator">
    <vt:lpwstr>Acrobat PDFMaker 15 for Word</vt:lpwstr>
  </property>
  <property fmtid="{D5CDD505-2E9C-101B-9397-08002B2CF9AE}" pid="4" name="LastSaved">
    <vt:filetime>2020-12-09T00:00:00Z</vt:filetime>
  </property>
</Properties>
</file>