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-1294613</wp:posOffset>
            </wp:positionV>
            <wp:extent cx="7559040" cy="110921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0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DEPARTMENT OF IMMIGRATION AND BORDER PROTECTION NOTICE</w:t>
      </w:r>
    </w:p>
    <w:p>
      <w:pPr>
        <w:pStyle w:val="Title"/>
        <w:spacing w:before="206"/>
        <w:ind w:left="3377" w:right="2931"/>
        <w:jc w:val="center"/>
      </w:pPr>
      <w:r>
        <w:rPr/>
        <w:pict>
          <v:rect style="position:absolute;margin-left:55.944pt;margin-top:30.391827pt;width:506.11pt;height:.48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/>
        <w:t>No. 2017/29</w:t>
      </w:r>
    </w:p>
    <w:p>
      <w:pPr>
        <w:pStyle w:val="BodyText"/>
        <w:spacing w:before="5"/>
        <w:rPr>
          <w:b/>
          <w:sz w:val="13"/>
        </w:rPr>
      </w:pPr>
    </w:p>
    <w:p>
      <w:pPr>
        <w:spacing w:before="91"/>
        <w:ind w:left="3377" w:right="3377" w:firstLine="0"/>
        <w:jc w:val="center"/>
        <w:rPr>
          <w:b/>
          <w:sz w:val="26"/>
        </w:rPr>
      </w:pPr>
      <w:r>
        <w:rPr>
          <w:b/>
          <w:sz w:val="26"/>
        </w:rPr>
        <w:t>Applications for Customs Broker Licence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720"/>
      </w:pPr>
      <w:r>
        <w:rPr/>
        <w:t>The following individuals and companies have applied to the Comptroller-General of Customs for a customs broker licence.</w:t>
      </w:r>
    </w:p>
    <w:p>
      <w:pPr>
        <w:pStyle w:val="BodyText"/>
        <w:spacing w:before="3"/>
      </w:pPr>
    </w:p>
    <w:tbl>
      <w:tblPr>
        <w:tblW w:w="0" w:type="auto"/>
        <w:jc w:val="left"/>
        <w:tblInd w:w="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9"/>
        <w:gridCol w:w="3026"/>
        <w:gridCol w:w="3077"/>
      </w:tblGrid>
      <w:tr>
        <w:trPr>
          <w:trHeight w:val="205" w:hRule="atLeast"/>
        </w:trPr>
        <w:tc>
          <w:tcPr>
            <w:tcW w:w="2939" w:type="dxa"/>
          </w:tcPr>
          <w:p>
            <w:pPr>
              <w:pStyle w:val="TableParagraph"/>
              <w:spacing w:line="185" w:lineRule="exact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INDIVIDUALS</w:t>
            </w:r>
          </w:p>
        </w:tc>
        <w:tc>
          <w:tcPr>
            <w:tcW w:w="3026" w:type="dxa"/>
          </w:tcPr>
          <w:p>
            <w:pPr>
              <w:pStyle w:val="TableParagraph"/>
              <w:spacing w:line="185" w:lineRule="exact"/>
              <w:ind w:left="27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COMPANY</w:t>
            </w:r>
          </w:p>
        </w:tc>
        <w:tc>
          <w:tcPr>
            <w:tcW w:w="3077" w:type="dxa"/>
          </w:tcPr>
          <w:p>
            <w:pPr>
              <w:pStyle w:val="TableParagraph"/>
              <w:spacing w:line="185" w:lineRule="exact"/>
              <w:ind w:left="25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COMPANY</w:t>
            </w:r>
          </w:p>
        </w:tc>
      </w:tr>
      <w:tr>
        <w:trPr>
          <w:trHeight w:val="208" w:hRule="atLeast"/>
        </w:trPr>
        <w:tc>
          <w:tcPr>
            <w:tcW w:w="29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D0D0D"/>
                <w:sz w:val="18"/>
              </w:rPr>
              <w:t>Timothy Lance Hider</w:t>
            </w:r>
          </w:p>
        </w:tc>
        <w:tc>
          <w:tcPr>
            <w:tcW w:w="3026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color w:val="0D0D0D"/>
                <w:sz w:val="18"/>
              </w:rPr>
              <w:t>DG Air Trading Pty</w:t>
            </w:r>
          </w:p>
        </w:tc>
        <w:tc>
          <w:tcPr>
            <w:tcW w:w="3077" w:type="dxa"/>
          </w:tcPr>
          <w:p>
            <w:pPr>
              <w:pStyle w:val="TableParagraph"/>
              <w:ind w:left="251"/>
              <w:rPr>
                <w:sz w:val="18"/>
              </w:rPr>
            </w:pPr>
            <w:r>
              <w:rPr>
                <w:sz w:val="18"/>
              </w:rPr>
              <w:t>Wholesale Customs Clearance</w:t>
            </w:r>
          </w:p>
        </w:tc>
      </w:tr>
      <w:tr>
        <w:trPr>
          <w:trHeight w:val="209" w:hRule="atLeast"/>
        </w:trPr>
        <w:tc>
          <w:tcPr>
            <w:tcW w:w="29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D0D0D"/>
                <w:sz w:val="18"/>
              </w:rPr>
              <w:t>Rumi Hider</w:t>
            </w:r>
          </w:p>
        </w:tc>
        <w:tc>
          <w:tcPr>
            <w:tcW w:w="3026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color w:val="0D0D0D"/>
                <w:sz w:val="18"/>
              </w:rPr>
              <w:t>ABN 62 605 198 472</w:t>
            </w:r>
          </w:p>
        </w:tc>
        <w:tc>
          <w:tcPr>
            <w:tcW w:w="3077" w:type="dxa"/>
          </w:tcPr>
          <w:p>
            <w:pPr>
              <w:pStyle w:val="TableParagraph"/>
              <w:ind w:left="251"/>
              <w:rPr>
                <w:sz w:val="18"/>
              </w:rPr>
            </w:pPr>
            <w:r>
              <w:rPr>
                <w:sz w:val="18"/>
              </w:rPr>
              <w:t>ABN 18 618 150 931</w:t>
            </w:r>
          </w:p>
        </w:tc>
      </w:tr>
      <w:tr>
        <w:trPr>
          <w:trHeight w:val="206" w:hRule="atLeast"/>
        </w:trPr>
        <w:tc>
          <w:tcPr>
            <w:tcW w:w="2939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Steve Paul Goodwin</w:t>
            </w:r>
          </w:p>
        </w:tc>
        <w:tc>
          <w:tcPr>
            <w:tcW w:w="3026" w:type="dxa"/>
          </w:tcPr>
          <w:p>
            <w:pPr>
              <w:pStyle w:val="TableParagraph"/>
              <w:spacing w:line="187" w:lineRule="exact"/>
              <w:ind w:left="271"/>
              <w:rPr>
                <w:sz w:val="18"/>
              </w:rPr>
            </w:pPr>
            <w:r>
              <w:rPr>
                <w:color w:val="0D0D0D"/>
                <w:sz w:val="18"/>
              </w:rPr>
              <w:t>31-35 George Street</w:t>
            </w:r>
          </w:p>
        </w:tc>
        <w:tc>
          <w:tcPr>
            <w:tcW w:w="3077" w:type="dxa"/>
          </w:tcPr>
          <w:p>
            <w:pPr>
              <w:pStyle w:val="TableParagraph"/>
              <w:spacing w:line="187" w:lineRule="exact"/>
              <w:ind w:left="251"/>
              <w:rPr>
                <w:sz w:val="18"/>
              </w:rPr>
            </w:pPr>
            <w:r>
              <w:rPr>
                <w:sz w:val="18"/>
              </w:rPr>
              <w:t>10 Coleman Parade</w:t>
            </w:r>
          </w:p>
        </w:tc>
      </w:tr>
      <w:tr>
        <w:trPr>
          <w:trHeight w:val="206" w:hRule="atLeast"/>
        </w:trPr>
        <w:tc>
          <w:tcPr>
            <w:tcW w:w="2939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Muthiah Jambunathan</w:t>
            </w:r>
          </w:p>
        </w:tc>
        <w:tc>
          <w:tcPr>
            <w:tcW w:w="3026" w:type="dxa"/>
          </w:tcPr>
          <w:p>
            <w:pPr>
              <w:pStyle w:val="TableParagraph"/>
              <w:spacing w:line="186" w:lineRule="exact"/>
              <w:ind w:left="271"/>
              <w:rPr>
                <w:sz w:val="18"/>
              </w:rPr>
            </w:pPr>
            <w:r>
              <w:rPr>
                <w:color w:val="0D0D0D"/>
                <w:sz w:val="18"/>
              </w:rPr>
              <w:t>THEBARTON SA 5031</w:t>
            </w:r>
          </w:p>
        </w:tc>
        <w:tc>
          <w:tcPr>
            <w:tcW w:w="3077" w:type="dxa"/>
          </w:tcPr>
          <w:p>
            <w:pPr>
              <w:pStyle w:val="TableParagraph"/>
              <w:tabs>
                <w:tab w:pos="1485" w:val="left" w:leader="none"/>
              </w:tabs>
              <w:spacing w:line="186" w:lineRule="exact"/>
              <w:ind w:left="251"/>
              <w:rPr>
                <w:sz w:val="18"/>
              </w:rPr>
            </w:pPr>
            <w:r>
              <w:rPr>
                <w:sz w:val="18"/>
              </w:rPr>
              <w:t>CHURCHILL</w:t>
              <w:tab/>
              <w:t>VIC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3842</w:t>
            </w:r>
          </w:p>
        </w:tc>
      </w:tr>
      <w:tr>
        <w:trPr>
          <w:trHeight w:val="206" w:hRule="atLeast"/>
        </w:trPr>
        <w:tc>
          <w:tcPr>
            <w:tcW w:w="2939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Rajasree Eri Devanathan</w:t>
            </w:r>
          </w:p>
        </w:tc>
        <w:tc>
          <w:tcPr>
            <w:tcW w:w="302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07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2939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John Paul Sorbara</w:t>
            </w:r>
          </w:p>
        </w:tc>
        <w:tc>
          <w:tcPr>
            <w:tcW w:w="3026" w:type="dxa"/>
          </w:tcPr>
          <w:p>
            <w:pPr>
              <w:pStyle w:val="TableParagraph"/>
              <w:spacing w:line="186" w:lineRule="exact"/>
              <w:ind w:left="27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Person in Authority</w:t>
            </w:r>
          </w:p>
        </w:tc>
        <w:tc>
          <w:tcPr>
            <w:tcW w:w="3077" w:type="dxa"/>
          </w:tcPr>
          <w:p>
            <w:pPr>
              <w:pStyle w:val="TableParagraph"/>
              <w:spacing w:line="186" w:lineRule="exact"/>
              <w:ind w:left="25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Persons in Authority</w:t>
            </w:r>
          </w:p>
        </w:tc>
      </w:tr>
      <w:tr>
        <w:trPr>
          <w:trHeight w:val="206" w:hRule="atLeast"/>
        </w:trPr>
        <w:tc>
          <w:tcPr>
            <w:tcW w:w="2939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Aliona Herasimava</w:t>
            </w:r>
          </w:p>
        </w:tc>
        <w:tc>
          <w:tcPr>
            <w:tcW w:w="3026" w:type="dxa"/>
          </w:tcPr>
          <w:p>
            <w:pPr>
              <w:pStyle w:val="TableParagraph"/>
              <w:spacing w:line="186" w:lineRule="exact"/>
              <w:ind w:left="271"/>
              <w:rPr>
                <w:sz w:val="18"/>
              </w:rPr>
            </w:pPr>
            <w:r>
              <w:rPr>
                <w:color w:val="0D0D0D"/>
                <w:sz w:val="18"/>
              </w:rPr>
              <w:t>Brad Matthew Nicholson</w:t>
            </w:r>
          </w:p>
        </w:tc>
        <w:tc>
          <w:tcPr>
            <w:tcW w:w="3077" w:type="dxa"/>
          </w:tcPr>
          <w:p>
            <w:pPr>
              <w:pStyle w:val="TableParagraph"/>
              <w:spacing w:line="186" w:lineRule="exact"/>
              <w:ind w:left="251"/>
              <w:rPr>
                <w:sz w:val="18"/>
              </w:rPr>
            </w:pPr>
            <w:r>
              <w:rPr>
                <w:sz w:val="18"/>
              </w:rPr>
              <w:t>Dolores San Andreas</w:t>
            </w:r>
          </w:p>
        </w:tc>
      </w:tr>
      <w:tr>
        <w:trPr>
          <w:trHeight w:val="206" w:hRule="atLeast"/>
        </w:trPr>
        <w:tc>
          <w:tcPr>
            <w:tcW w:w="2939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Darcy Steven Hayes</w:t>
            </w:r>
          </w:p>
        </w:tc>
        <w:tc>
          <w:tcPr>
            <w:tcW w:w="302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077" w:type="dxa"/>
          </w:tcPr>
          <w:p>
            <w:pPr>
              <w:pStyle w:val="TableParagraph"/>
              <w:spacing w:line="186" w:lineRule="exact"/>
              <w:ind w:left="251"/>
              <w:rPr>
                <w:sz w:val="18"/>
              </w:rPr>
            </w:pPr>
            <w:r>
              <w:rPr>
                <w:sz w:val="18"/>
              </w:rPr>
              <w:t>Gina Katarina McDiarmid</w:t>
            </w:r>
          </w:p>
        </w:tc>
      </w:tr>
      <w:tr>
        <w:trPr>
          <w:trHeight w:val="206" w:hRule="atLeast"/>
        </w:trPr>
        <w:tc>
          <w:tcPr>
            <w:tcW w:w="2939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Haixian Fang</w:t>
            </w:r>
          </w:p>
        </w:tc>
        <w:tc>
          <w:tcPr>
            <w:tcW w:w="302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07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293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026" w:type="dxa"/>
          </w:tcPr>
          <w:p>
            <w:pPr>
              <w:pStyle w:val="TableParagraph"/>
              <w:ind w:left="27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Nominee Broker</w:t>
            </w:r>
          </w:p>
        </w:tc>
        <w:tc>
          <w:tcPr>
            <w:tcW w:w="3077" w:type="dxa"/>
          </w:tcPr>
          <w:p>
            <w:pPr>
              <w:pStyle w:val="TableParagraph"/>
              <w:ind w:left="25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Nominee Broker</w:t>
            </w:r>
          </w:p>
        </w:tc>
      </w:tr>
      <w:tr>
        <w:trPr>
          <w:trHeight w:val="415" w:hRule="atLeast"/>
        </w:trPr>
        <w:tc>
          <w:tcPr>
            <w:tcW w:w="293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</w:tcPr>
          <w:p>
            <w:pPr>
              <w:pStyle w:val="TableParagraph"/>
              <w:spacing w:line="240" w:lineRule="auto"/>
              <w:ind w:left="271"/>
              <w:rPr>
                <w:sz w:val="18"/>
              </w:rPr>
            </w:pPr>
            <w:r>
              <w:rPr>
                <w:color w:val="0D0D0D"/>
                <w:sz w:val="18"/>
              </w:rPr>
              <w:t>Damien Malcolm Hann</w:t>
            </w:r>
          </w:p>
        </w:tc>
        <w:tc>
          <w:tcPr>
            <w:tcW w:w="3077" w:type="dxa"/>
          </w:tcPr>
          <w:p>
            <w:pPr>
              <w:pStyle w:val="TableParagraph"/>
              <w:spacing w:line="240" w:lineRule="auto"/>
              <w:ind w:left="251"/>
              <w:rPr>
                <w:sz w:val="18"/>
              </w:rPr>
            </w:pPr>
            <w:r>
              <w:rPr>
                <w:sz w:val="18"/>
              </w:rPr>
              <w:t>Dolores San Andreas</w:t>
            </w:r>
          </w:p>
        </w:tc>
      </w:tr>
      <w:tr>
        <w:trPr>
          <w:trHeight w:val="412" w:hRule="atLeast"/>
        </w:trPr>
        <w:tc>
          <w:tcPr>
            <w:tcW w:w="2939" w:type="dxa"/>
          </w:tcPr>
          <w:p>
            <w:pPr>
              <w:pStyle w:val="TableParagraph"/>
              <w:spacing w:line="240" w:lineRule="auto" w:before="8"/>
              <w:ind w:left="0"/>
              <w:rPr>
                <w:sz w:val="17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COMPANY</w:t>
            </w:r>
          </w:p>
        </w:tc>
        <w:tc>
          <w:tcPr>
            <w:tcW w:w="3026" w:type="dxa"/>
          </w:tcPr>
          <w:p>
            <w:pPr>
              <w:pStyle w:val="TableParagraph"/>
              <w:spacing w:line="240" w:lineRule="auto" w:before="8"/>
              <w:ind w:left="0"/>
              <w:rPr>
                <w:sz w:val="17"/>
              </w:rPr>
            </w:pPr>
          </w:p>
          <w:p>
            <w:pPr>
              <w:pStyle w:val="TableParagraph"/>
              <w:ind w:left="27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COMPANY</w:t>
            </w:r>
          </w:p>
        </w:tc>
        <w:tc>
          <w:tcPr>
            <w:tcW w:w="3077" w:type="dxa"/>
          </w:tcPr>
          <w:p>
            <w:pPr>
              <w:pStyle w:val="TableParagraph"/>
              <w:spacing w:line="240" w:lineRule="auto" w:before="8"/>
              <w:ind w:left="0"/>
              <w:rPr>
                <w:sz w:val="17"/>
              </w:rPr>
            </w:pPr>
          </w:p>
          <w:p>
            <w:pPr>
              <w:pStyle w:val="TableParagraph"/>
              <w:ind w:left="25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COMPANY</w:t>
            </w:r>
          </w:p>
        </w:tc>
      </w:tr>
      <w:tr>
        <w:trPr>
          <w:trHeight w:val="412" w:hRule="atLeast"/>
        </w:trPr>
        <w:tc>
          <w:tcPr>
            <w:tcW w:w="2939" w:type="dxa"/>
          </w:tcPr>
          <w:p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MDL Customs &amp; Compliance</w:t>
            </w:r>
          </w:p>
        </w:tc>
        <w:tc>
          <w:tcPr>
            <w:tcW w:w="3026" w:type="dxa"/>
          </w:tcPr>
          <w:p>
            <w:pPr>
              <w:pStyle w:val="TableParagraph"/>
              <w:spacing w:line="205" w:lineRule="exact"/>
              <w:ind w:left="271"/>
              <w:rPr>
                <w:sz w:val="18"/>
              </w:rPr>
            </w:pPr>
            <w:r>
              <w:rPr>
                <w:sz w:val="18"/>
              </w:rPr>
              <w:t>Cable International Pty Ltd</w:t>
            </w:r>
          </w:p>
        </w:tc>
        <w:tc>
          <w:tcPr>
            <w:tcW w:w="3077" w:type="dxa"/>
          </w:tcPr>
          <w:p>
            <w:pPr>
              <w:pStyle w:val="TableParagraph"/>
              <w:spacing w:line="206" w:lineRule="exact" w:before="1"/>
              <w:ind w:left="251" w:right="184"/>
              <w:rPr>
                <w:sz w:val="18"/>
              </w:rPr>
            </w:pPr>
            <w:r>
              <w:rPr>
                <w:sz w:val="18"/>
              </w:rPr>
              <w:t>Brook International Customs and Logistics Pty Ltd</w:t>
            </w:r>
          </w:p>
        </w:tc>
      </w:tr>
      <w:tr>
        <w:trPr>
          <w:trHeight w:val="206" w:hRule="atLeast"/>
        </w:trPr>
        <w:tc>
          <w:tcPr>
            <w:tcW w:w="2939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ABN 90 619 606 441</w:t>
            </w:r>
          </w:p>
        </w:tc>
        <w:tc>
          <w:tcPr>
            <w:tcW w:w="3026" w:type="dxa"/>
          </w:tcPr>
          <w:p>
            <w:pPr>
              <w:pStyle w:val="TableParagraph"/>
              <w:spacing w:line="186" w:lineRule="exact"/>
              <w:ind w:left="271"/>
              <w:rPr>
                <w:sz w:val="18"/>
              </w:rPr>
            </w:pPr>
            <w:r>
              <w:rPr>
                <w:sz w:val="18"/>
              </w:rPr>
              <w:t>ABN 94 620 490 520</w:t>
            </w:r>
          </w:p>
        </w:tc>
        <w:tc>
          <w:tcPr>
            <w:tcW w:w="3077" w:type="dxa"/>
          </w:tcPr>
          <w:p>
            <w:pPr>
              <w:pStyle w:val="TableParagraph"/>
              <w:spacing w:line="186" w:lineRule="exact"/>
              <w:ind w:left="251"/>
              <w:rPr>
                <w:sz w:val="18"/>
              </w:rPr>
            </w:pPr>
            <w:r>
              <w:rPr>
                <w:sz w:val="18"/>
              </w:rPr>
              <w:t>ABN 75 606 376 201</w:t>
            </w:r>
          </w:p>
        </w:tc>
      </w:tr>
      <w:tr>
        <w:trPr>
          <w:trHeight w:val="208" w:hRule="atLeast"/>
        </w:trPr>
        <w:tc>
          <w:tcPr>
            <w:tcW w:w="29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D0D0D"/>
                <w:sz w:val="18"/>
              </w:rPr>
              <w:t>Suite 3, 17 Baker Street</w:t>
            </w:r>
          </w:p>
        </w:tc>
        <w:tc>
          <w:tcPr>
            <w:tcW w:w="3026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sz w:val="18"/>
              </w:rPr>
              <w:t>Level 1, 226 Commonwealth St</w:t>
            </w:r>
          </w:p>
        </w:tc>
        <w:tc>
          <w:tcPr>
            <w:tcW w:w="3077" w:type="dxa"/>
          </w:tcPr>
          <w:p>
            <w:pPr>
              <w:pStyle w:val="TableParagraph"/>
              <w:ind w:left="251"/>
              <w:rPr>
                <w:sz w:val="18"/>
              </w:rPr>
            </w:pPr>
            <w:r>
              <w:rPr>
                <w:sz w:val="18"/>
              </w:rPr>
              <w:t>Level 10, 111 Georges Terrace</w:t>
            </w:r>
          </w:p>
        </w:tc>
      </w:tr>
      <w:tr>
        <w:trPr>
          <w:trHeight w:val="312" w:hRule="atLeast"/>
        </w:trPr>
        <w:tc>
          <w:tcPr>
            <w:tcW w:w="293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0D0D0D"/>
                <w:sz w:val="18"/>
              </w:rPr>
              <w:t>BANKSMEADOW NSW 2019</w:t>
            </w:r>
          </w:p>
        </w:tc>
        <w:tc>
          <w:tcPr>
            <w:tcW w:w="3026" w:type="dxa"/>
          </w:tcPr>
          <w:p>
            <w:pPr>
              <w:pStyle w:val="TableParagraph"/>
              <w:spacing w:line="240" w:lineRule="auto"/>
              <w:ind w:left="271"/>
              <w:rPr>
                <w:sz w:val="18"/>
              </w:rPr>
            </w:pPr>
            <w:r>
              <w:rPr>
                <w:sz w:val="18"/>
              </w:rPr>
              <w:t>SURREY HILLS NSW 2010</w:t>
            </w:r>
          </w:p>
        </w:tc>
        <w:tc>
          <w:tcPr>
            <w:tcW w:w="3077" w:type="dxa"/>
          </w:tcPr>
          <w:p>
            <w:pPr>
              <w:pStyle w:val="TableParagraph"/>
              <w:spacing w:line="240" w:lineRule="auto"/>
              <w:ind w:left="251"/>
              <w:rPr>
                <w:sz w:val="18"/>
              </w:rPr>
            </w:pPr>
            <w:r>
              <w:rPr>
                <w:sz w:val="18"/>
              </w:rPr>
              <w:t>PERTH WA 6000</w:t>
            </w:r>
          </w:p>
        </w:tc>
      </w:tr>
      <w:tr>
        <w:trPr>
          <w:trHeight w:val="309" w:hRule="atLeast"/>
        </w:trPr>
        <w:tc>
          <w:tcPr>
            <w:tcW w:w="2939" w:type="dxa"/>
          </w:tcPr>
          <w:p>
            <w:pPr>
              <w:pStyle w:val="TableParagraph"/>
              <w:spacing w:before="100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Persons in Authority</w:t>
            </w:r>
          </w:p>
        </w:tc>
        <w:tc>
          <w:tcPr>
            <w:tcW w:w="3026" w:type="dxa"/>
          </w:tcPr>
          <w:p>
            <w:pPr>
              <w:pStyle w:val="TableParagraph"/>
              <w:spacing w:before="100"/>
              <w:ind w:left="27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Persons in Authority</w:t>
            </w:r>
          </w:p>
        </w:tc>
        <w:tc>
          <w:tcPr>
            <w:tcW w:w="3077" w:type="dxa"/>
          </w:tcPr>
          <w:p>
            <w:pPr>
              <w:pStyle w:val="TableParagraph"/>
              <w:spacing w:before="100"/>
              <w:ind w:left="25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Persons in Authority</w:t>
            </w:r>
          </w:p>
        </w:tc>
      </w:tr>
      <w:tr>
        <w:trPr>
          <w:trHeight w:val="206" w:hRule="atLeast"/>
        </w:trPr>
        <w:tc>
          <w:tcPr>
            <w:tcW w:w="2939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Iain Robert Duff</w:t>
            </w:r>
          </w:p>
        </w:tc>
        <w:tc>
          <w:tcPr>
            <w:tcW w:w="3026" w:type="dxa"/>
          </w:tcPr>
          <w:p>
            <w:pPr>
              <w:pStyle w:val="TableParagraph"/>
              <w:spacing w:line="186" w:lineRule="exact"/>
              <w:ind w:left="271"/>
              <w:rPr>
                <w:sz w:val="18"/>
              </w:rPr>
            </w:pPr>
            <w:r>
              <w:rPr>
                <w:sz w:val="18"/>
              </w:rPr>
              <w:t>Alan William Cable</w:t>
            </w:r>
          </w:p>
        </w:tc>
        <w:tc>
          <w:tcPr>
            <w:tcW w:w="3077" w:type="dxa"/>
          </w:tcPr>
          <w:p>
            <w:pPr>
              <w:pStyle w:val="TableParagraph"/>
              <w:spacing w:line="186" w:lineRule="exact"/>
              <w:ind w:left="251"/>
              <w:rPr>
                <w:sz w:val="18"/>
              </w:rPr>
            </w:pPr>
            <w:r>
              <w:rPr>
                <w:sz w:val="18"/>
              </w:rPr>
              <w:t>Qiang Zhang</w:t>
            </w:r>
          </w:p>
        </w:tc>
      </w:tr>
      <w:tr>
        <w:trPr>
          <w:trHeight w:val="309" w:hRule="atLeast"/>
        </w:trPr>
        <w:tc>
          <w:tcPr>
            <w:tcW w:w="2939" w:type="dxa"/>
          </w:tcPr>
          <w:p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Zvonko Milenkovski</w:t>
            </w:r>
          </w:p>
        </w:tc>
        <w:tc>
          <w:tcPr>
            <w:tcW w:w="3026" w:type="dxa"/>
          </w:tcPr>
          <w:p>
            <w:pPr>
              <w:pStyle w:val="TableParagraph"/>
              <w:spacing w:line="205" w:lineRule="exact"/>
              <w:ind w:left="271"/>
              <w:rPr>
                <w:sz w:val="18"/>
              </w:rPr>
            </w:pPr>
            <w:r>
              <w:rPr>
                <w:sz w:val="18"/>
              </w:rPr>
              <w:t>Adam Samuel Butler</w:t>
            </w:r>
          </w:p>
        </w:tc>
        <w:tc>
          <w:tcPr>
            <w:tcW w:w="3077" w:type="dxa"/>
          </w:tcPr>
          <w:p>
            <w:pPr>
              <w:pStyle w:val="TableParagraph"/>
              <w:spacing w:line="205" w:lineRule="exact"/>
              <w:ind w:left="251"/>
              <w:rPr>
                <w:sz w:val="18"/>
              </w:rPr>
            </w:pPr>
            <w:r>
              <w:rPr>
                <w:sz w:val="18"/>
              </w:rPr>
              <w:t>Mian Wang</w:t>
            </w:r>
          </w:p>
        </w:tc>
      </w:tr>
      <w:tr>
        <w:trPr>
          <w:trHeight w:val="309" w:hRule="atLeast"/>
        </w:trPr>
        <w:tc>
          <w:tcPr>
            <w:tcW w:w="2939" w:type="dxa"/>
          </w:tcPr>
          <w:p>
            <w:pPr>
              <w:pStyle w:val="TableParagraph"/>
              <w:spacing w:before="100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Nominee Brokers</w:t>
            </w:r>
          </w:p>
        </w:tc>
        <w:tc>
          <w:tcPr>
            <w:tcW w:w="3026" w:type="dxa"/>
          </w:tcPr>
          <w:p>
            <w:pPr>
              <w:pStyle w:val="TableParagraph"/>
              <w:spacing w:before="100"/>
              <w:ind w:left="27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Nominee Brokers</w:t>
            </w:r>
          </w:p>
        </w:tc>
        <w:tc>
          <w:tcPr>
            <w:tcW w:w="3077" w:type="dxa"/>
          </w:tcPr>
          <w:p>
            <w:pPr>
              <w:pStyle w:val="TableParagraph"/>
              <w:spacing w:before="100"/>
              <w:ind w:left="251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  <w:u w:val="single" w:color="0D0D0D"/>
              </w:rPr>
              <w:t>Nominee Broker</w:t>
            </w:r>
          </w:p>
        </w:tc>
      </w:tr>
      <w:tr>
        <w:trPr>
          <w:trHeight w:val="209" w:hRule="atLeast"/>
        </w:trPr>
        <w:tc>
          <w:tcPr>
            <w:tcW w:w="29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D0D0D"/>
                <w:sz w:val="18"/>
              </w:rPr>
              <w:t>Iain Robert Duff</w:t>
            </w:r>
          </w:p>
        </w:tc>
        <w:tc>
          <w:tcPr>
            <w:tcW w:w="3026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sz w:val="18"/>
              </w:rPr>
              <w:t>Adam Samuel Butler</w:t>
            </w:r>
          </w:p>
        </w:tc>
        <w:tc>
          <w:tcPr>
            <w:tcW w:w="3077" w:type="dxa"/>
          </w:tcPr>
          <w:p>
            <w:pPr>
              <w:pStyle w:val="TableParagraph"/>
              <w:ind w:left="251"/>
              <w:rPr>
                <w:sz w:val="18"/>
              </w:rPr>
            </w:pPr>
            <w:r>
              <w:rPr>
                <w:sz w:val="18"/>
              </w:rPr>
              <w:t>Yanning Fan</w:t>
            </w:r>
          </w:p>
        </w:tc>
      </w:tr>
      <w:tr>
        <w:trPr>
          <w:trHeight w:val="207" w:hRule="atLeast"/>
        </w:trPr>
        <w:tc>
          <w:tcPr>
            <w:tcW w:w="2939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color w:val="0D0D0D"/>
                <w:sz w:val="18"/>
              </w:rPr>
              <w:t>Zvonko Milenkovski</w:t>
            </w:r>
          </w:p>
        </w:tc>
        <w:tc>
          <w:tcPr>
            <w:tcW w:w="3026" w:type="dxa"/>
          </w:tcPr>
          <w:p>
            <w:pPr>
              <w:pStyle w:val="TableParagraph"/>
              <w:spacing w:line="187" w:lineRule="exact"/>
              <w:ind w:left="271"/>
              <w:rPr>
                <w:sz w:val="18"/>
              </w:rPr>
            </w:pPr>
            <w:r>
              <w:rPr>
                <w:sz w:val="18"/>
              </w:rPr>
              <w:t>Alan William Cable</w:t>
            </w:r>
          </w:p>
        </w:tc>
        <w:tc>
          <w:tcPr>
            <w:tcW w:w="307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720" w:right="924"/>
      </w:pPr>
      <w:r>
        <w:rPr/>
        <w:t>Any person wishing to make written representation in respect of any of these applications should address the correspondence by 4 October 2017 to:</w:t>
      </w:r>
    </w:p>
    <w:p>
      <w:pPr>
        <w:pStyle w:val="BodyText"/>
        <w:spacing w:before="2"/>
      </w:pPr>
    </w:p>
    <w:tbl>
      <w:tblPr>
        <w:tblW w:w="0" w:type="auto"/>
        <w:jc w:val="left"/>
        <w:tblInd w:w="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9"/>
        <w:gridCol w:w="5070"/>
      </w:tblGrid>
      <w:tr>
        <w:trPr>
          <w:trHeight w:val="828" w:hRule="atLeast"/>
        </w:trPr>
        <w:tc>
          <w:tcPr>
            <w:tcW w:w="3549" w:type="dxa"/>
          </w:tcPr>
          <w:p>
            <w:pPr>
              <w:pStyle w:val="TableParagraph"/>
              <w:spacing w:line="242" w:lineRule="auto"/>
              <w:ind w:right="1428"/>
              <w:rPr>
                <w:sz w:val="18"/>
              </w:rPr>
            </w:pPr>
            <w:r>
              <w:rPr>
                <w:sz w:val="18"/>
              </w:rPr>
              <w:t>Broker Licensing Australian Border Force 5 Constitution Avenue</w:t>
            </w:r>
          </w:p>
          <w:p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CANBERRA ACT 2601</w:t>
            </w:r>
          </w:p>
        </w:tc>
        <w:tc>
          <w:tcPr>
            <w:tcW w:w="5070" w:type="dxa"/>
          </w:tcPr>
          <w:p>
            <w:pPr>
              <w:pStyle w:val="TableParagraph"/>
              <w:spacing w:line="240" w:lineRule="auto"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443"/>
              <w:rPr>
                <w:sz w:val="18"/>
              </w:rPr>
            </w:pPr>
            <w:r>
              <w:rPr>
                <w:sz w:val="18"/>
              </w:rPr>
              <w:t>Or email: </w:t>
            </w:r>
            <w:hyperlink r:id="rId6">
              <w:r>
                <w:rPr>
                  <w:color w:val="0000FF"/>
                  <w:sz w:val="18"/>
                  <w:u w:val="single" w:color="0000FF"/>
                </w:rPr>
                <w:t>brokers.licensing@border.gov.au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29"/>
        <w:ind w:left="720" w:right="742"/>
      </w:pPr>
      <w:r>
        <w:rPr/>
        <w:t>Principles </w:t>
      </w:r>
      <w:r>
        <w:rPr>
          <w:spacing w:val="-3"/>
        </w:rPr>
        <w:t>of </w:t>
      </w:r>
      <w:r>
        <w:rPr/>
        <w:t>procedural fairness in respect </w:t>
      </w:r>
      <w:r>
        <w:rPr>
          <w:spacing w:val="-3"/>
        </w:rPr>
        <w:t>of </w:t>
      </w:r>
      <w:r>
        <w:rPr/>
        <w:t>information that is potentially adverse to the applicant will be applied and if  information is received that is </w:t>
      </w:r>
      <w:r>
        <w:rPr>
          <w:spacing w:val="-3"/>
        </w:rPr>
        <w:t>considered </w:t>
      </w:r>
      <w:r>
        <w:rPr/>
        <w:t>credible, relevant </w:t>
      </w:r>
      <w:r>
        <w:rPr>
          <w:spacing w:val="-3"/>
        </w:rPr>
        <w:t>and </w:t>
      </w:r>
      <w:r>
        <w:rPr/>
        <w:t>significant, the applicant will be made aware </w:t>
      </w:r>
      <w:r>
        <w:rPr>
          <w:spacing w:val="-3"/>
        </w:rPr>
        <w:t>of </w:t>
      </w:r>
      <w:r>
        <w:rPr/>
        <w:t>the substance of the representation and given the opportunity to respond to the</w:t>
      </w:r>
      <w:r>
        <w:rPr>
          <w:spacing w:val="-24"/>
        </w:rPr>
        <w:t> </w:t>
      </w:r>
      <w:r>
        <w:rPr/>
        <w:t>representation.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720"/>
      </w:pPr>
      <w:r>
        <w:rPr/>
        <w:t>[signed]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07" w:lineRule="exact"/>
        <w:ind w:left="720"/>
      </w:pPr>
      <w:r>
        <w:rPr/>
        <w:t>Lyn Foster</w:t>
      </w:r>
    </w:p>
    <w:p>
      <w:pPr>
        <w:pStyle w:val="BodyText"/>
        <w:spacing w:line="206" w:lineRule="exact"/>
        <w:ind w:left="720"/>
      </w:pPr>
      <w:r>
        <w:rPr/>
        <w:t>Acting Superintendent</w:t>
      </w:r>
    </w:p>
    <w:p>
      <w:pPr>
        <w:pStyle w:val="BodyText"/>
        <w:ind w:left="720" w:right="8258"/>
      </w:pPr>
      <w:r>
        <w:rPr/>
        <w:t>Trade and Goods Operational Policy CANBERRA ACT</w:t>
      </w:r>
    </w:p>
    <w:p>
      <w:pPr>
        <w:pStyle w:val="BodyText"/>
        <w:spacing w:line="206" w:lineRule="exact"/>
        <w:ind w:left="720"/>
      </w:pPr>
      <w:r>
        <w:rPr/>
        <w:t>14 September 2017</w:t>
      </w:r>
    </w:p>
    <w:sectPr>
      <w:type w:val="continuous"/>
      <w:pgSz w:w="11910" w:h="16840"/>
      <w:pgMar w:top="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238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9" w:lineRule="exact"/>
      <w:ind w:left="20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border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Deparment of Immigration and Border Protection</dc:creator>
  <dc:subject>DIBP Notice 2017/29</dc:subject>
  <dc:title>Applications for Customs Broker Licence</dc:title>
  <dcterms:created xsi:type="dcterms:W3CDTF">2020-12-09T22:36:29Z</dcterms:created>
  <dcterms:modified xsi:type="dcterms:W3CDTF">2020-12-09T22:36:29Z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