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Heading1"/>
        <w:spacing w:before="90"/>
      </w:pPr>
      <w:r>
        <w:rPr/>
        <w:drawing>
          <wp:anchor distT="0" distB="0" distL="0" distR="0" allowOverlap="1" layoutInCell="1" locked="0" behindDoc="0" simplePos="0" relativeHeight="15729152">
            <wp:simplePos x="0" y="0"/>
            <wp:positionH relativeFrom="page">
              <wp:posOffset>0</wp:posOffset>
            </wp:positionH>
            <wp:positionV relativeFrom="paragraph">
              <wp:posOffset>-1293966</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6"/>
        <w:ind w:left="5426" w:right="4980" w:firstLine="0"/>
        <w:jc w:val="center"/>
        <w:rPr>
          <w:rFonts w:ascii="Arial"/>
          <w:b/>
          <w:sz w:val="28"/>
        </w:rPr>
      </w:pPr>
      <w:r>
        <w:rPr/>
        <w:pict>
          <v:rect style="position:absolute;margin-left:55.919998pt;margin-top:30.391813pt;width:505.921pt;height:.48pt;mso-position-horizontal-relative:page;mso-position-vertical-relative:paragraph;z-index:-15728640;mso-wrap-distance-left:0;mso-wrap-distance-right:0" filled="true" fillcolor="#4f81bd" stroked="false">
            <v:fill type="solid"/>
            <w10:wrap type="topAndBottom"/>
          </v:rect>
        </w:pict>
      </w:r>
      <w:r>
        <w:rPr>
          <w:rFonts w:ascii="Arial"/>
          <w:b/>
          <w:sz w:val="28"/>
        </w:rPr>
        <w:t>No.2017/30</w:t>
      </w:r>
    </w:p>
    <w:p>
      <w:pPr>
        <w:pStyle w:val="BodyText"/>
        <w:spacing w:before="2"/>
        <w:rPr>
          <w:rFonts w:ascii="Arial"/>
          <w:b/>
          <w:sz w:val="13"/>
        </w:rPr>
      </w:pPr>
    </w:p>
    <w:p>
      <w:pPr>
        <w:pStyle w:val="Heading1"/>
        <w:ind w:left="1329"/>
      </w:pPr>
      <w:r>
        <w:rPr/>
        <w:t>Notice of Intention to Propose Customs Tariff Alterations (No. 1) 2017</w:t>
      </w:r>
    </w:p>
    <w:p>
      <w:pPr>
        <w:pStyle w:val="BodyText"/>
        <w:spacing w:line="242" w:lineRule="auto" w:before="255"/>
        <w:ind w:left="1147" w:right="1124"/>
      </w:pPr>
      <w:r>
        <w:rPr/>
        <w:t>On 20 September 2017, Notice of Intention to Propose Customs Tariff Alterations (No. 1) 2017 (the Notice) was published in the Commonwealth Government Notices Gazette.</w:t>
      </w:r>
    </w:p>
    <w:p>
      <w:pPr>
        <w:pStyle w:val="BodyText"/>
        <w:spacing w:before="8"/>
        <w:rPr>
          <w:sz w:val="23"/>
        </w:rPr>
      </w:pPr>
    </w:p>
    <w:p>
      <w:pPr>
        <w:pStyle w:val="BodyText"/>
        <w:ind w:left="1147" w:right="799"/>
      </w:pPr>
      <w:r>
        <w:rPr/>
        <w:t>The Notice repeals table items 123 to 125, inclusive, of Schedule 8 to the </w:t>
      </w:r>
      <w:r>
        <w:rPr>
          <w:i/>
        </w:rPr>
        <w:t>Customs Tariff Act 1995 </w:t>
      </w:r>
      <w:r>
        <w:rPr/>
        <w:t>(the Customs Tariff Act) effective from 20 September 2017. Repealing these table items reduces the preferential customs duty rates for eligible goods from five per cent to ‘Free’. These amendments apply to goods imported into Australia:</w:t>
      </w:r>
    </w:p>
    <w:p>
      <w:pPr>
        <w:pStyle w:val="ListParagraph"/>
        <w:numPr>
          <w:ilvl w:val="0"/>
          <w:numId w:val="1"/>
        </w:numPr>
        <w:tabs>
          <w:tab w:pos="1867" w:val="left" w:leader="none"/>
          <w:tab w:pos="1868" w:val="left" w:leader="none"/>
        </w:tabs>
        <w:spacing w:line="240" w:lineRule="auto" w:before="18" w:after="0"/>
        <w:ind w:left="1867" w:right="0" w:hanging="361"/>
        <w:jc w:val="left"/>
        <w:rPr>
          <w:sz w:val="24"/>
        </w:rPr>
      </w:pPr>
      <w:r>
        <w:rPr>
          <w:sz w:val="24"/>
        </w:rPr>
        <w:t>on or after 20 September 2017;</w:t>
      </w:r>
      <w:r>
        <w:rPr>
          <w:spacing w:val="-2"/>
          <w:sz w:val="24"/>
        </w:rPr>
        <w:t> </w:t>
      </w:r>
      <w:r>
        <w:rPr>
          <w:spacing w:val="-3"/>
          <w:sz w:val="24"/>
        </w:rPr>
        <w:t>and</w:t>
      </w:r>
    </w:p>
    <w:p>
      <w:pPr>
        <w:pStyle w:val="ListParagraph"/>
        <w:numPr>
          <w:ilvl w:val="0"/>
          <w:numId w:val="1"/>
        </w:numPr>
        <w:tabs>
          <w:tab w:pos="1867" w:val="left" w:leader="none"/>
          <w:tab w:pos="1868" w:val="left" w:leader="none"/>
        </w:tabs>
        <w:spacing w:line="237" w:lineRule="auto" w:before="18" w:after="0"/>
        <w:ind w:left="1867" w:right="1246" w:hanging="360"/>
        <w:jc w:val="left"/>
        <w:rPr>
          <w:sz w:val="24"/>
        </w:rPr>
      </w:pPr>
      <w:r>
        <w:rPr>
          <w:sz w:val="24"/>
        </w:rPr>
        <w:t>before 20 September 2017, where the time for working out the rate of customs duty had not occurred before 20 September</w:t>
      </w:r>
      <w:r>
        <w:rPr>
          <w:spacing w:val="3"/>
          <w:sz w:val="24"/>
        </w:rPr>
        <w:t> </w:t>
      </w:r>
      <w:r>
        <w:rPr>
          <w:sz w:val="24"/>
        </w:rPr>
        <w:t>2017.</w:t>
      </w:r>
    </w:p>
    <w:p>
      <w:pPr>
        <w:pStyle w:val="BodyText"/>
        <w:spacing w:before="3"/>
      </w:pPr>
    </w:p>
    <w:p>
      <w:pPr>
        <w:pStyle w:val="BodyText"/>
        <w:spacing w:line="237" w:lineRule="auto"/>
        <w:ind w:left="1147" w:right="1772"/>
      </w:pPr>
      <w:r>
        <w:rPr/>
        <w:t>These table items provide preferential rates of duty for goods classified to the following tariff subheadings:</w:t>
      </w:r>
    </w:p>
    <w:p>
      <w:pPr>
        <w:pStyle w:val="BodyText"/>
        <w:spacing w:before="9"/>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0"/>
        <w:gridCol w:w="2496"/>
        <w:gridCol w:w="2520"/>
        <w:gridCol w:w="2491"/>
      </w:tblGrid>
      <w:tr>
        <w:trPr>
          <w:trHeight w:val="277" w:hRule="atLeast"/>
        </w:trPr>
        <w:tc>
          <w:tcPr>
            <w:tcW w:w="2520" w:type="dxa"/>
            <w:shd w:val="clear" w:color="auto" w:fill="DADADA"/>
          </w:tcPr>
          <w:p>
            <w:pPr>
              <w:pStyle w:val="TableParagraph"/>
              <w:rPr>
                <w:b/>
                <w:sz w:val="24"/>
              </w:rPr>
            </w:pPr>
            <w:r>
              <w:rPr>
                <w:b/>
                <w:sz w:val="24"/>
              </w:rPr>
              <w:t>Table Item</w:t>
            </w:r>
          </w:p>
        </w:tc>
        <w:tc>
          <w:tcPr>
            <w:tcW w:w="2496" w:type="dxa"/>
            <w:tcBorders>
              <w:right w:val="single" w:sz="12" w:space="0" w:color="000000"/>
            </w:tcBorders>
            <w:shd w:val="clear" w:color="auto" w:fill="DADADA"/>
          </w:tcPr>
          <w:p>
            <w:pPr>
              <w:pStyle w:val="TableParagraph"/>
              <w:ind w:left="110"/>
              <w:rPr>
                <w:b/>
                <w:sz w:val="24"/>
              </w:rPr>
            </w:pPr>
            <w:r>
              <w:rPr>
                <w:b/>
                <w:sz w:val="24"/>
              </w:rPr>
              <w:t>Tariff Subheading</w:t>
            </w:r>
          </w:p>
        </w:tc>
        <w:tc>
          <w:tcPr>
            <w:tcW w:w="2520" w:type="dxa"/>
            <w:tcBorders>
              <w:left w:val="single" w:sz="12" w:space="0" w:color="000000"/>
            </w:tcBorders>
            <w:shd w:val="clear" w:color="auto" w:fill="DADADA"/>
          </w:tcPr>
          <w:p>
            <w:pPr>
              <w:pStyle w:val="TableParagraph"/>
              <w:ind w:left="95"/>
              <w:rPr>
                <w:b/>
                <w:sz w:val="24"/>
              </w:rPr>
            </w:pPr>
            <w:r>
              <w:rPr>
                <w:b/>
                <w:sz w:val="24"/>
              </w:rPr>
              <w:t>Table Item</w:t>
            </w:r>
          </w:p>
        </w:tc>
        <w:tc>
          <w:tcPr>
            <w:tcW w:w="2491" w:type="dxa"/>
            <w:shd w:val="clear" w:color="auto" w:fill="DADADA"/>
          </w:tcPr>
          <w:p>
            <w:pPr>
              <w:pStyle w:val="TableParagraph"/>
              <w:rPr>
                <w:b/>
                <w:sz w:val="24"/>
              </w:rPr>
            </w:pPr>
            <w:r>
              <w:rPr>
                <w:b/>
                <w:sz w:val="24"/>
              </w:rPr>
              <w:t>Tariff Subheading</w:t>
            </w:r>
          </w:p>
        </w:tc>
      </w:tr>
      <w:tr>
        <w:trPr>
          <w:trHeight w:val="273" w:hRule="atLeast"/>
        </w:trPr>
        <w:tc>
          <w:tcPr>
            <w:tcW w:w="2520" w:type="dxa"/>
          </w:tcPr>
          <w:p>
            <w:pPr>
              <w:pStyle w:val="TableParagraph"/>
              <w:spacing w:line="253" w:lineRule="exact"/>
              <w:rPr>
                <w:sz w:val="24"/>
              </w:rPr>
            </w:pPr>
            <w:r>
              <w:rPr>
                <w:sz w:val="24"/>
              </w:rPr>
              <w:t>123</w:t>
            </w:r>
          </w:p>
        </w:tc>
        <w:tc>
          <w:tcPr>
            <w:tcW w:w="2496" w:type="dxa"/>
            <w:tcBorders>
              <w:right w:val="single" w:sz="12" w:space="0" w:color="000000"/>
            </w:tcBorders>
          </w:tcPr>
          <w:p>
            <w:pPr>
              <w:pStyle w:val="TableParagraph"/>
              <w:spacing w:line="253" w:lineRule="exact"/>
              <w:ind w:left="110"/>
              <w:rPr>
                <w:sz w:val="24"/>
              </w:rPr>
            </w:pPr>
            <w:r>
              <w:rPr>
                <w:sz w:val="24"/>
              </w:rPr>
              <w:t>3808.52.90(a)</w:t>
            </w:r>
          </w:p>
        </w:tc>
        <w:tc>
          <w:tcPr>
            <w:tcW w:w="2520" w:type="dxa"/>
            <w:tcBorders>
              <w:left w:val="single" w:sz="12" w:space="0" w:color="000000"/>
            </w:tcBorders>
          </w:tcPr>
          <w:p>
            <w:pPr>
              <w:pStyle w:val="TableParagraph"/>
              <w:spacing w:line="253" w:lineRule="exact"/>
              <w:ind w:left="95"/>
              <w:rPr>
                <w:sz w:val="24"/>
              </w:rPr>
            </w:pPr>
            <w:r>
              <w:rPr>
                <w:sz w:val="24"/>
              </w:rPr>
              <w:t>123D</w:t>
            </w:r>
          </w:p>
        </w:tc>
        <w:tc>
          <w:tcPr>
            <w:tcW w:w="2491" w:type="dxa"/>
          </w:tcPr>
          <w:p>
            <w:pPr>
              <w:pStyle w:val="TableParagraph"/>
              <w:spacing w:line="253" w:lineRule="exact"/>
              <w:rPr>
                <w:sz w:val="24"/>
              </w:rPr>
            </w:pPr>
            <w:r>
              <w:rPr>
                <w:sz w:val="24"/>
              </w:rPr>
              <w:t>3808.69.90</w:t>
            </w:r>
          </w:p>
        </w:tc>
      </w:tr>
      <w:tr>
        <w:trPr>
          <w:trHeight w:val="277" w:hRule="atLeast"/>
        </w:trPr>
        <w:tc>
          <w:tcPr>
            <w:tcW w:w="2520" w:type="dxa"/>
          </w:tcPr>
          <w:p>
            <w:pPr>
              <w:pStyle w:val="TableParagraph"/>
              <w:rPr>
                <w:sz w:val="24"/>
              </w:rPr>
            </w:pPr>
            <w:r>
              <w:rPr>
                <w:sz w:val="24"/>
              </w:rPr>
              <w:t>123A</w:t>
            </w:r>
          </w:p>
        </w:tc>
        <w:tc>
          <w:tcPr>
            <w:tcW w:w="2496" w:type="dxa"/>
            <w:tcBorders>
              <w:right w:val="single" w:sz="12" w:space="0" w:color="000000"/>
            </w:tcBorders>
          </w:tcPr>
          <w:p>
            <w:pPr>
              <w:pStyle w:val="TableParagraph"/>
              <w:ind w:left="110"/>
              <w:rPr>
                <w:sz w:val="24"/>
              </w:rPr>
            </w:pPr>
            <w:r>
              <w:rPr>
                <w:sz w:val="24"/>
              </w:rPr>
              <w:t>3808.59.90(a)</w:t>
            </w:r>
          </w:p>
        </w:tc>
        <w:tc>
          <w:tcPr>
            <w:tcW w:w="2520" w:type="dxa"/>
            <w:tcBorders>
              <w:left w:val="single" w:sz="12" w:space="0" w:color="000000"/>
            </w:tcBorders>
          </w:tcPr>
          <w:p>
            <w:pPr>
              <w:pStyle w:val="TableParagraph"/>
              <w:ind w:left="95"/>
              <w:rPr>
                <w:sz w:val="24"/>
              </w:rPr>
            </w:pPr>
            <w:r>
              <w:rPr>
                <w:sz w:val="24"/>
              </w:rPr>
              <w:t>124</w:t>
            </w:r>
          </w:p>
        </w:tc>
        <w:tc>
          <w:tcPr>
            <w:tcW w:w="2491" w:type="dxa"/>
          </w:tcPr>
          <w:p>
            <w:pPr>
              <w:pStyle w:val="TableParagraph"/>
              <w:rPr>
                <w:sz w:val="24"/>
              </w:rPr>
            </w:pPr>
            <w:r>
              <w:rPr>
                <w:sz w:val="24"/>
              </w:rPr>
              <w:t>3808.91.90</w:t>
            </w:r>
          </w:p>
        </w:tc>
      </w:tr>
      <w:tr>
        <w:trPr>
          <w:trHeight w:val="277" w:hRule="atLeast"/>
        </w:trPr>
        <w:tc>
          <w:tcPr>
            <w:tcW w:w="2520" w:type="dxa"/>
          </w:tcPr>
          <w:p>
            <w:pPr>
              <w:pStyle w:val="TableParagraph"/>
              <w:rPr>
                <w:sz w:val="24"/>
              </w:rPr>
            </w:pPr>
            <w:r>
              <w:rPr>
                <w:sz w:val="24"/>
              </w:rPr>
              <w:t>123B</w:t>
            </w:r>
          </w:p>
        </w:tc>
        <w:tc>
          <w:tcPr>
            <w:tcW w:w="2496" w:type="dxa"/>
            <w:tcBorders>
              <w:right w:val="single" w:sz="12" w:space="0" w:color="000000"/>
            </w:tcBorders>
          </w:tcPr>
          <w:p>
            <w:pPr>
              <w:pStyle w:val="TableParagraph"/>
              <w:ind w:left="110"/>
              <w:rPr>
                <w:sz w:val="24"/>
              </w:rPr>
            </w:pPr>
            <w:r>
              <w:rPr>
                <w:sz w:val="24"/>
              </w:rPr>
              <w:t>3808.61.90</w:t>
            </w:r>
          </w:p>
        </w:tc>
        <w:tc>
          <w:tcPr>
            <w:tcW w:w="2520" w:type="dxa"/>
            <w:tcBorders>
              <w:left w:val="single" w:sz="12" w:space="0" w:color="000000"/>
            </w:tcBorders>
          </w:tcPr>
          <w:p>
            <w:pPr>
              <w:pStyle w:val="TableParagraph"/>
              <w:ind w:left="95"/>
              <w:rPr>
                <w:sz w:val="24"/>
              </w:rPr>
            </w:pPr>
            <w:r>
              <w:rPr>
                <w:sz w:val="24"/>
              </w:rPr>
              <w:t>125</w:t>
            </w:r>
          </w:p>
        </w:tc>
        <w:tc>
          <w:tcPr>
            <w:tcW w:w="2491" w:type="dxa"/>
          </w:tcPr>
          <w:p>
            <w:pPr>
              <w:pStyle w:val="TableParagraph"/>
              <w:rPr>
                <w:sz w:val="24"/>
              </w:rPr>
            </w:pPr>
            <w:r>
              <w:rPr>
                <w:sz w:val="24"/>
              </w:rPr>
              <w:t>3808.93.00</w:t>
            </w:r>
          </w:p>
        </w:tc>
      </w:tr>
      <w:tr>
        <w:trPr>
          <w:trHeight w:val="273" w:hRule="atLeast"/>
        </w:trPr>
        <w:tc>
          <w:tcPr>
            <w:tcW w:w="2520" w:type="dxa"/>
          </w:tcPr>
          <w:p>
            <w:pPr>
              <w:pStyle w:val="TableParagraph"/>
              <w:spacing w:line="253" w:lineRule="exact"/>
              <w:rPr>
                <w:sz w:val="24"/>
              </w:rPr>
            </w:pPr>
            <w:r>
              <w:rPr>
                <w:sz w:val="24"/>
              </w:rPr>
              <w:t>123C</w:t>
            </w:r>
          </w:p>
        </w:tc>
        <w:tc>
          <w:tcPr>
            <w:tcW w:w="2496" w:type="dxa"/>
            <w:tcBorders>
              <w:right w:val="single" w:sz="12" w:space="0" w:color="000000"/>
            </w:tcBorders>
          </w:tcPr>
          <w:p>
            <w:pPr>
              <w:pStyle w:val="TableParagraph"/>
              <w:spacing w:line="253" w:lineRule="exact"/>
              <w:ind w:left="110"/>
              <w:rPr>
                <w:sz w:val="24"/>
              </w:rPr>
            </w:pPr>
            <w:r>
              <w:rPr>
                <w:sz w:val="24"/>
              </w:rPr>
              <w:t>3808.62.90</w:t>
            </w:r>
          </w:p>
        </w:tc>
        <w:tc>
          <w:tcPr>
            <w:tcW w:w="2520" w:type="dxa"/>
            <w:tcBorders>
              <w:left w:val="single" w:sz="12" w:space="0" w:color="000000"/>
            </w:tcBorders>
          </w:tcPr>
          <w:p>
            <w:pPr>
              <w:pStyle w:val="TableParagraph"/>
              <w:spacing w:line="240" w:lineRule="auto"/>
              <w:ind w:left="0"/>
              <w:rPr>
                <w:sz w:val="20"/>
              </w:rPr>
            </w:pPr>
          </w:p>
        </w:tc>
        <w:tc>
          <w:tcPr>
            <w:tcW w:w="2491" w:type="dxa"/>
          </w:tcPr>
          <w:p>
            <w:pPr>
              <w:pStyle w:val="TableParagraph"/>
              <w:spacing w:line="240" w:lineRule="auto"/>
              <w:ind w:left="0"/>
              <w:rPr>
                <w:sz w:val="20"/>
              </w:rPr>
            </w:pPr>
          </w:p>
        </w:tc>
      </w:tr>
    </w:tbl>
    <w:p>
      <w:pPr>
        <w:spacing w:before="0"/>
        <w:ind w:left="1147" w:right="0" w:firstLine="0"/>
        <w:jc w:val="left"/>
        <w:rPr>
          <w:sz w:val="24"/>
        </w:rPr>
      </w:pPr>
      <w:r>
        <w:rPr>
          <w:sz w:val="24"/>
        </w:rPr>
        <w:t>(a) Prescribed goods only. Prescribed goods are provided for in the </w:t>
      </w:r>
      <w:r>
        <w:rPr>
          <w:i/>
          <w:sz w:val="24"/>
        </w:rPr>
        <w:t>Customs Tariff Regulations 2004</w:t>
      </w:r>
      <w:r>
        <w:rPr>
          <w:sz w:val="24"/>
        </w:rPr>
        <w:t>.</w:t>
      </w:r>
    </w:p>
    <w:p>
      <w:pPr>
        <w:pStyle w:val="BodyText"/>
      </w:pPr>
    </w:p>
    <w:p>
      <w:pPr>
        <w:pStyle w:val="BodyText"/>
        <w:ind w:left="1147" w:right="931"/>
      </w:pPr>
      <w:r>
        <w:rPr/>
        <w:t>The removal of these preferential customs duty rates was announced by the Prime Minister and the President of the Republic of Indonesia on 26 February 2017. Australia agreed to remove customs duty on pesticides and herbicides from Indonesia, and Indonesia agreed to reduce customs duties on Australian sugar. These amendments are an early outcome of the Indonesia-Australia Comprehensive Economic Partnership Agreement negotiations.</w:t>
      </w:r>
    </w:p>
    <w:p>
      <w:pPr>
        <w:pStyle w:val="BodyText"/>
      </w:pPr>
    </w:p>
    <w:p>
      <w:pPr>
        <w:pStyle w:val="BodyText"/>
        <w:ind w:left="1147" w:right="905"/>
      </w:pPr>
      <w:r>
        <w:rPr/>
        <w:t>To formalise these amendments Customs Tariff Proposal (No. 2) 2017 will be tabled in the Parliament within the next seven sitting days. Legislation to amend the Customs Tariff Act needs to receive the Royal Assent within 12 months.</w:t>
      </w:r>
    </w:p>
    <w:p>
      <w:pPr>
        <w:pStyle w:val="BodyText"/>
      </w:pPr>
    </w:p>
    <w:p>
      <w:pPr>
        <w:pStyle w:val="BodyText"/>
        <w:ind w:left="1147"/>
      </w:pPr>
      <w:r>
        <w:rPr/>
        <w:t>The Online Tariff has been amended to reflect these changes.</w:t>
      </w:r>
    </w:p>
    <w:p>
      <w:pPr>
        <w:pStyle w:val="BodyText"/>
        <w:rPr>
          <w:sz w:val="26"/>
        </w:rPr>
      </w:pPr>
    </w:p>
    <w:p>
      <w:pPr>
        <w:pStyle w:val="BodyText"/>
        <w:rPr>
          <w:sz w:val="26"/>
        </w:rPr>
      </w:pPr>
    </w:p>
    <w:p>
      <w:pPr>
        <w:pStyle w:val="BodyText"/>
        <w:rPr>
          <w:sz w:val="26"/>
        </w:rPr>
      </w:pPr>
    </w:p>
    <w:p>
      <w:pPr>
        <w:pStyle w:val="BodyText"/>
        <w:spacing w:before="209"/>
        <w:ind w:left="1252" w:right="8796"/>
      </w:pPr>
      <w:r>
        <w:rPr/>
        <w:t>(signed) Genevieve Watson Assistant Secretary</w:t>
      </w:r>
    </w:p>
    <w:p>
      <w:pPr>
        <w:pStyle w:val="BodyText"/>
        <w:spacing w:line="242" w:lineRule="auto"/>
        <w:ind w:left="1315" w:right="8018" w:hanging="63"/>
      </w:pPr>
      <w:r>
        <w:rPr/>
        <w:t>Trade and Customs Branch 20 September 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67" w:hanging="360"/>
      </w:pPr>
      <w:rPr>
        <w:rFonts w:hint="default" w:ascii="Arial" w:hAnsi="Arial" w:eastAsia="Arial" w:cs="Arial"/>
        <w:w w:val="131"/>
        <w:sz w:val="24"/>
        <w:szCs w:val="24"/>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8"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7" w:hanging="360"/>
      </w:pPr>
      <w:rPr>
        <w:rFonts w:hint="default"/>
        <w:lang w:val="en-au" w:eastAsia="en-US" w:bidi="ar-SA"/>
      </w:rPr>
    </w:lvl>
    <w:lvl w:ilvl="5">
      <w:start w:val="0"/>
      <w:numFmt w:val="bullet"/>
      <w:lvlText w:val="•"/>
      <w:lvlJc w:val="left"/>
      <w:pPr>
        <w:ind w:left="6882" w:hanging="360"/>
      </w:pPr>
      <w:rPr>
        <w:rFonts w:hint="default"/>
        <w:lang w:val="en-au" w:eastAsia="en-US" w:bidi="ar-SA"/>
      </w:rPr>
    </w:lvl>
    <w:lvl w:ilvl="6">
      <w:start w:val="0"/>
      <w:numFmt w:val="bullet"/>
      <w:lvlText w:val="•"/>
      <w:lvlJc w:val="left"/>
      <w:pPr>
        <w:ind w:left="7886" w:hanging="360"/>
      </w:pPr>
      <w:rPr>
        <w:rFonts w:hint="default"/>
        <w:lang w:val="en-au" w:eastAsia="en-US" w:bidi="ar-SA"/>
      </w:rPr>
    </w:lvl>
    <w:lvl w:ilvl="7">
      <w:start w:val="0"/>
      <w:numFmt w:val="bullet"/>
      <w:lvlText w:val="•"/>
      <w:lvlJc w:val="left"/>
      <w:pPr>
        <w:ind w:left="8890" w:hanging="360"/>
      </w:pPr>
      <w:rPr>
        <w:rFonts w:hint="default"/>
        <w:lang w:val="en-au" w:eastAsia="en-US" w:bidi="ar-SA"/>
      </w:rPr>
    </w:lvl>
    <w:lvl w:ilvl="8">
      <w:start w:val="0"/>
      <w:numFmt w:val="bullet"/>
      <w:lvlText w:val="•"/>
      <w:lvlJc w:val="left"/>
      <w:pPr>
        <w:ind w:left="989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au" w:eastAsia="en-US" w:bidi="ar-SA"/>
    </w:rPr>
  </w:style>
  <w:style w:styleId="Heading1" w:type="paragraph">
    <w:name w:val="Heading 1"/>
    <w:basedOn w:val="Normal"/>
    <w:uiPriority w:val="1"/>
    <w:qFormat/>
    <w:pPr>
      <w:spacing w:before="89"/>
      <w:ind w:left="1238"/>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spacing w:before="18"/>
      <w:ind w:left="1867" w:hanging="361"/>
    </w:pPr>
    <w:rPr>
      <w:rFonts w:ascii="Times New Roman" w:hAnsi="Times New Roman" w:eastAsia="Times New Roman" w:cs="Times New Roman"/>
      <w:lang w:val="en-au" w:eastAsia="en-US" w:bidi="ar-SA"/>
    </w:rPr>
  </w:style>
  <w:style w:styleId="TableParagraph" w:type="paragraph">
    <w:name w:val="Table Paragraph"/>
    <w:basedOn w:val="Normal"/>
    <w:uiPriority w:val="1"/>
    <w:qFormat/>
    <w:pPr>
      <w:spacing w:line="258" w:lineRule="exact"/>
      <w:ind w:left="105"/>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Repeal; table items; Schedule 8; Customs Tariff Act 1995; Proposal; Herbicides; Pesticides: Republic of Indonesia; Australian sugar; Indonesia-Australia Comprehensive Economic Partnership Agreement</cp:keywords>
  <dc:subject>Repeal of table items 123 to 125 of Schedule 8 of the Customs Tariff Act 1995</dc:subject>
  <dc:title>Notice of Intention to Propose Customs Tariff Alterations (No. 1) 2017</dc:title>
  <dcterms:created xsi:type="dcterms:W3CDTF">2020-12-09T23:02:58Z</dcterms:created>
  <dcterms:modified xsi:type="dcterms:W3CDTF">2020-12-09T23:02:58Z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2017-09-20T00:00:00Z</vt:filetime>
  </property>
  <property fmtid="{D5CDD505-2E9C-101B-9397-08002B2CF9AE}" pid="3" name="Creator">
    <vt:lpwstr>Acrobat PDFMaker 15 for Word</vt:lpwstr>
  </property>
  <property fmtid="{D5CDD505-2E9C-101B-9397-08002B2CF9AE}" pid="4" name="LastSaved">
    <vt:filetime>2020-12-09T00:00:00Z</vt:filetime>
  </property>
</Properties>
</file>