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6"/>
        </w:rPr>
      </w:pPr>
    </w:p>
    <w:p>
      <w:pPr>
        <w:pStyle w:val="Title"/>
        <w:ind w:right="2092"/>
      </w:pPr>
      <w:r>
        <w:rPr/>
        <w:drawing>
          <wp:anchor distT="0" distB="0" distL="0" distR="0" allowOverlap="1" layoutInCell="1" locked="0" behindDoc="0" simplePos="0" relativeHeight="15729664">
            <wp:simplePos x="0" y="0"/>
            <wp:positionH relativeFrom="page">
              <wp:posOffset>0</wp:posOffset>
            </wp:positionH>
            <wp:positionV relativeFrom="paragraph">
              <wp:posOffset>-1578332</wp:posOffset>
            </wp:positionV>
            <wp:extent cx="7559675" cy="1481454"/>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481454"/>
                    </a:xfrm>
                    <a:prstGeom prst="rect">
                      <a:avLst/>
                    </a:prstGeom>
                  </pic:spPr>
                </pic:pic>
              </a:graphicData>
            </a:graphic>
          </wp:anchor>
        </w:drawing>
      </w:r>
      <w:r>
        <w:rPr/>
        <w:t>DEPARTMENT OF HOME AFFAIRS NOTICE</w:t>
      </w:r>
    </w:p>
    <w:p>
      <w:pPr>
        <w:pStyle w:val="Title"/>
        <w:spacing w:before="202"/>
        <w:ind w:left="2092"/>
      </w:pPr>
      <w:r>
        <w:rPr/>
        <w:pict>
          <v:rect style="position:absolute;margin-left:55.919998pt;margin-top:30.311853pt;width:506.16pt;height:.48pt;mso-position-horizontal-relative:page;mso-position-vertical-relative:paragraph;z-index:-15728640;mso-wrap-distance-left:0;mso-wrap-distance-right:0" filled="true" fillcolor="#4f81bc" stroked="false">
            <v:fill type="solid"/>
            <w10:wrap type="topAndBottom"/>
          </v:rect>
        </w:pict>
      </w:r>
      <w:r>
        <w:rPr/>
        <w:t>No. 2018/</w:t>
      </w:r>
      <w:r>
        <w:rPr>
          <w:color w:val="0D0D0D"/>
        </w:rPr>
        <w:t>04</w:t>
      </w:r>
    </w:p>
    <w:p>
      <w:pPr>
        <w:pStyle w:val="BodyText"/>
        <w:spacing w:before="7"/>
        <w:rPr>
          <w:b/>
          <w:sz w:val="13"/>
        </w:rPr>
      </w:pPr>
    </w:p>
    <w:p>
      <w:pPr>
        <w:spacing w:before="91"/>
        <w:ind w:left="2088" w:right="2092" w:firstLine="0"/>
        <w:jc w:val="center"/>
        <w:rPr>
          <w:b/>
          <w:sz w:val="26"/>
        </w:rPr>
      </w:pPr>
      <w:r>
        <w:rPr>
          <w:b/>
          <w:sz w:val="26"/>
        </w:rPr>
        <w:t>Applications for Customs Broker Licence</w:t>
      </w:r>
    </w:p>
    <w:p>
      <w:pPr>
        <w:pStyle w:val="BodyText"/>
        <w:spacing w:before="5"/>
        <w:rPr>
          <w:b/>
        </w:rPr>
      </w:pPr>
    </w:p>
    <w:p>
      <w:pPr>
        <w:pStyle w:val="BodyText"/>
        <w:spacing w:before="1"/>
        <w:ind w:left="720" w:right="1445"/>
      </w:pPr>
      <w:r>
        <w:rPr/>
        <w:t>The following individuals have applied to the Comptroller-General of Customs for a customs broker licence:</w:t>
      </w:r>
    </w:p>
    <w:p>
      <w:pPr>
        <w:pStyle w:val="BodyText"/>
        <w:spacing w:before="7"/>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6"/>
      </w:tblGrid>
      <w:tr>
        <w:trPr>
          <w:trHeight w:val="272" w:hRule="atLeast"/>
        </w:trPr>
        <w:tc>
          <w:tcPr>
            <w:tcW w:w="3856" w:type="dxa"/>
          </w:tcPr>
          <w:p>
            <w:pPr>
              <w:pStyle w:val="TableParagraph"/>
              <w:spacing w:line="252" w:lineRule="exact"/>
              <w:rPr>
                <w:sz w:val="24"/>
              </w:rPr>
            </w:pPr>
            <w:r>
              <w:rPr>
                <w:sz w:val="24"/>
              </w:rPr>
              <w:t>Sona Fullerton</w:t>
            </w:r>
          </w:p>
        </w:tc>
      </w:tr>
      <w:tr>
        <w:trPr>
          <w:trHeight w:val="276" w:hRule="atLeast"/>
        </w:trPr>
        <w:tc>
          <w:tcPr>
            <w:tcW w:w="3856" w:type="dxa"/>
          </w:tcPr>
          <w:p>
            <w:pPr>
              <w:pStyle w:val="TableParagraph"/>
              <w:rPr>
                <w:sz w:val="24"/>
              </w:rPr>
            </w:pPr>
            <w:r>
              <w:rPr>
                <w:sz w:val="24"/>
              </w:rPr>
              <w:t>Kumar</w:t>
            </w:r>
            <w:r>
              <w:rPr>
                <w:spacing w:val="66"/>
                <w:sz w:val="24"/>
              </w:rPr>
              <w:t> </w:t>
            </w:r>
            <w:r>
              <w:rPr>
                <w:sz w:val="24"/>
              </w:rPr>
              <w:t>Karuppusamy</w:t>
            </w:r>
          </w:p>
        </w:tc>
      </w:tr>
      <w:tr>
        <w:trPr>
          <w:trHeight w:val="275" w:hRule="atLeast"/>
        </w:trPr>
        <w:tc>
          <w:tcPr>
            <w:tcW w:w="3856" w:type="dxa"/>
          </w:tcPr>
          <w:p>
            <w:pPr>
              <w:pStyle w:val="TableParagraph"/>
              <w:rPr>
                <w:sz w:val="24"/>
              </w:rPr>
            </w:pPr>
            <w:r>
              <w:rPr>
                <w:sz w:val="24"/>
              </w:rPr>
              <w:t>Yuwen Van Tijn</w:t>
            </w:r>
          </w:p>
        </w:tc>
      </w:tr>
      <w:tr>
        <w:trPr>
          <w:trHeight w:val="275" w:hRule="atLeast"/>
        </w:trPr>
        <w:tc>
          <w:tcPr>
            <w:tcW w:w="3856" w:type="dxa"/>
          </w:tcPr>
          <w:p>
            <w:pPr>
              <w:pStyle w:val="TableParagraph"/>
              <w:rPr>
                <w:sz w:val="24"/>
              </w:rPr>
            </w:pPr>
            <w:r>
              <w:rPr>
                <w:sz w:val="24"/>
              </w:rPr>
              <w:t>Ying Yu</w:t>
            </w:r>
          </w:p>
        </w:tc>
      </w:tr>
      <w:tr>
        <w:trPr>
          <w:trHeight w:val="276" w:hRule="atLeast"/>
        </w:trPr>
        <w:tc>
          <w:tcPr>
            <w:tcW w:w="3856" w:type="dxa"/>
          </w:tcPr>
          <w:p>
            <w:pPr>
              <w:pStyle w:val="TableParagraph"/>
              <w:rPr>
                <w:sz w:val="24"/>
              </w:rPr>
            </w:pPr>
            <w:r>
              <w:rPr>
                <w:sz w:val="24"/>
              </w:rPr>
              <w:t>Eun-Woo Kim</w:t>
            </w:r>
          </w:p>
        </w:tc>
      </w:tr>
      <w:tr>
        <w:trPr>
          <w:trHeight w:val="275" w:hRule="atLeast"/>
        </w:trPr>
        <w:tc>
          <w:tcPr>
            <w:tcW w:w="3856" w:type="dxa"/>
          </w:tcPr>
          <w:p>
            <w:pPr>
              <w:pStyle w:val="TableParagraph"/>
              <w:rPr>
                <w:sz w:val="24"/>
              </w:rPr>
            </w:pPr>
            <w:r>
              <w:rPr>
                <w:sz w:val="24"/>
              </w:rPr>
              <w:t>Joshua Steven Loney</w:t>
            </w:r>
          </w:p>
        </w:tc>
      </w:tr>
      <w:tr>
        <w:trPr>
          <w:trHeight w:val="272" w:hRule="atLeast"/>
        </w:trPr>
        <w:tc>
          <w:tcPr>
            <w:tcW w:w="3856" w:type="dxa"/>
          </w:tcPr>
          <w:p>
            <w:pPr>
              <w:pStyle w:val="TableParagraph"/>
              <w:spacing w:line="252" w:lineRule="exact"/>
              <w:rPr>
                <w:sz w:val="24"/>
              </w:rPr>
            </w:pPr>
            <w:r>
              <w:rPr>
                <w:sz w:val="24"/>
              </w:rPr>
              <w:t>Kahlia Moana Maree McNamara</w:t>
            </w:r>
          </w:p>
        </w:tc>
      </w:tr>
    </w:tbl>
    <w:p>
      <w:pPr>
        <w:pStyle w:val="BodyText"/>
        <w:rPr>
          <w:sz w:val="26"/>
        </w:rPr>
      </w:pPr>
    </w:p>
    <w:p>
      <w:pPr>
        <w:pStyle w:val="BodyText"/>
        <w:rPr>
          <w:sz w:val="22"/>
        </w:rPr>
      </w:pPr>
    </w:p>
    <w:p>
      <w:pPr>
        <w:pStyle w:val="BodyText"/>
        <w:ind w:left="720" w:right="937"/>
      </w:pPr>
      <w:r>
        <w:rPr/>
        <w:t>Any person wishing to make written representation in respect of any of these applications should address the correspondence </w:t>
      </w:r>
      <w:r>
        <w:rPr>
          <w:color w:val="0D0D0D"/>
        </w:rPr>
        <w:t>by 28 February 2018 </w:t>
      </w:r>
      <w:r>
        <w:rPr/>
        <w:t>to:</w:t>
      </w:r>
    </w:p>
    <w:p>
      <w:pPr>
        <w:pStyle w:val="BodyText"/>
        <w:spacing w:before="8"/>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9"/>
        <w:gridCol w:w="4850"/>
      </w:tblGrid>
      <w:tr>
        <w:trPr>
          <w:trHeight w:val="1096" w:hRule="atLeast"/>
        </w:trPr>
        <w:tc>
          <w:tcPr>
            <w:tcW w:w="3859" w:type="dxa"/>
          </w:tcPr>
          <w:p>
            <w:pPr>
              <w:pStyle w:val="TableParagraph"/>
              <w:spacing w:line="240" w:lineRule="auto"/>
              <w:ind w:right="1011"/>
              <w:rPr>
                <w:sz w:val="24"/>
              </w:rPr>
            </w:pPr>
            <w:r>
              <w:rPr>
                <w:sz w:val="24"/>
              </w:rPr>
              <w:t>Broker Licensing Australian Border Force 5 Constitution Avenue</w:t>
            </w:r>
          </w:p>
          <w:p>
            <w:pPr>
              <w:pStyle w:val="TableParagraph"/>
              <w:rPr>
                <w:sz w:val="24"/>
              </w:rPr>
            </w:pPr>
            <w:r>
              <w:rPr>
                <w:sz w:val="24"/>
              </w:rPr>
              <w:t>CANBERRA ACT 2601</w:t>
            </w:r>
          </w:p>
        </w:tc>
        <w:tc>
          <w:tcPr>
            <w:tcW w:w="4850" w:type="dxa"/>
          </w:tcPr>
          <w:p>
            <w:pPr>
              <w:pStyle w:val="TableParagraph"/>
              <w:spacing w:line="240" w:lineRule="auto"/>
              <w:ind w:left="1127" w:right="177"/>
              <w:rPr>
                <w:sz w:val="24"/>
              </w:rPr>
            </w:pPr>
            <w:r>
              <w:rPr>
                <w:sz w:val="24"/>
              </w:rPr>
              <w:t>Or email: </w:t>
            </w:r>
            <w:hyperlink r:id="rId6">
              <w:r>
                <w:rPr>
                  <w:color w:val="0000FF"/>
                  <w:sz w:val="24"/>
                  <w:u w:val="single" w:color="0000FF"/>
                </w:rPr>
                <w:t>brokers.licensing@border.gov.au</w:t>
              </w:r>
            </w:hyperlink>
          </w:p>
        </w:tc>
      </w:tr>
    </w:tbl>
    <w:p>
      <w:pPr>
        <w:pStyle w:val="BodyText"/>
        <w:spacing w:before="14"/>
        <w:ind w:left="720" w:right="76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550" w:lineRule="atLeast" w:before="122"/>
        <w:ind w:left="720" w:right="10036"/>
      </w:pPr>
      <w:r>
        <w:rPr/>
        <w:t>[signed] Lyn Foster</w:t>
      </w:r>
    </w:p>
    <w:p>
      <w:pPr>
        <w:pStyle w:val="BodyText"/>
        <w:spacing w:before="2"/>
        <w:ind w:left="720"/>
      </w:pPr>
      <w:r>
        <w:rPr/>
        <w:t>Acting Superintendent</w:t>
      </w:r>
    </w:p>
    <w:p>
      <w:pPr>
        <w:pStyle w:val="BodyText"/>
        <w:ind w:left="720" w:right="7287"/>
      </w:pPr>
      <w:r>
        <w:rPr/>
        <w:t>Trade and Goods Operational Policy CANBERRA ACT</w:t>
      </w:r>
    </w:p>
    <w:p>
      <w:pPr>
        <w:pStyle w:val="BodyText"/>
        <w:spacing w:before="1"/>
      </w:pPr>
    </w:p>
    <w:p>
      <w:pPr>
        <w:pStyle w:val="BodyText"/>
        <w:ind w:left="720"/>
      </w:pPr>
      <w:r>
        <w:rPr>
          <w:color w:val="0D0D0D"/>
        </w:rPr>
        <w:t>9 February </w:t>
      </w:r>
      <w:r>
        <w:rPr/>
        <w:t>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r>
        <w:rPr/>
        <w:pict>
          <v:rect style="position:absolute;margin-left:56.639999pt;margin-top:17.211977pt;width:482.02pt;height:.48pt;mso-position-horizontal-relative:page;mso-position-vertical-relative:paragraph;z-index:-15728128;mso-wrap-distance-left:0;mso-wrap-distance-right:0" filled="true" fillcolor="#000000" stroked="false">
            <v:fill type="solid"/>
            <w10:wrap type="topAndBottom"/>
          </v:rect>
        </w:pict>
      </w:r>
    </w:p>
    <w:p>
      <w:pPr>
        <w:spacing w:before="130"/>
        <w:ind w:left="2091" w:right="2092" w:firstLine="0"/>
        <w:jc w:val="center"/>
        <w:rPr>
          <w:sz w:val="16"/>
        </w:rPr>
      </w:pPr>
      <w:r>
        <w:rPr>
          <w:sz w:val="16"/>
        </w:rPr>
        <w:t>6 Chan Street Belconnen ACT 2617</w:t>
      </w:r>
    </w:p>
    <w:p>
      <w:pPr>
        <w:spacing w:before="18"/>
        <w:ind w:left="2092" w:right="2092" w:firstLine="0"/>
        <w:jc w:val="center"/>
        <w:rPr>
          <w:sz w:val="16"/>
        </w:rPr>
      </w:pPr>
      <w:r>
        <w:rPr>
          <w:sz w:val="16"/>
        </w:rPr>
        <w:t>PO Box 25 Belconnen ACT 2616 • Telephone: 02 6264 1111 • Fax: 02 6225 6970 • </w:t>
      </w:r>
      <w:hyperlink r:id="rId7">
        <w:r>
          <w:rPr>
            <w:sz w:val="16"/>
          </w:rPr>
          <w:t>www.homeaffairs.gov.au</w:t>
        </w:r>
      </w:hyperlink>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4"/>
      <w:szCs w:val="24"/>
      <w:lang w:val="en-au" w:eastAsia="en-US" w:bidi="ar-SA"/>
    </w:rPr>
  </w:style>
  <w:style w:styleId="Title" w:type="paragraph">
    <w:name w:val="Title"/>
    <w:basedOn w:val="Normal"/>
    <w:uiPriority w:val="1"/>
    <w:qFormat/>
    <w:pPr>
      <w:spacing w:before="91"/>
      <w:ind w:left="2091" w:right="1639"/>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line="256" w:lineRule="exact"/>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 Id="rId7" Type="http://schemas.openxmlformats.org/officeDocument/2006/relationships/hyperlink" Target="http://www.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Deapartment of Home Affairs</dc:creator>
  <cp:keywords>customs broker licence</cp:keywords>
  <dc:subject>Applications for Customs Broker Licence</dc:subject>
  <dc:title>Department of Home Affairs Notice No. 2018/04</dc:title>
  <dcterms:created xsi:type="dcterms:W3CDTF">2020-12-09T23:13:33Z</dcterms:created>
  <dcterms:modified xsi:type="dcterms:W3CDTF">2020-12-09T23:13:33Z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2018-02-08T00:00:00Z</vt:filetime>
  </property>
  <property fmtid="{D5CDD505-2E9C-101B-9397-08002B2CF9AE}" pid="3" name="Creator">
    <vt:lpwstr>Microsoft® Word 2016</vt:lpwstr>
  </property>
  <property fmtid="{D5CDD505-2E9C-101B-9397-08002B2CF9AE}" pid="4" name="LastSaved">
    <vt:filetime>2020-12-09T00:00:00Z</vt:filetime>
  </property>
</Properties>
</file>