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-1577430</wp:posOffset>
            </wp:positionV>
            <wp:extent cx="7559674" cy="1481448"/>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81448"/>
                    </a:xfrm>
                    <a:prstGeom prst="rect">
                      <a:avLst/>
                    </a:prstGeom>
                  </pic:spPr>
                </pic:pic>
              </a:graphicData>
            </a:graphic>
          </wp:anchor>
        </w:drawing>
      </w:r>
      <w:r>
        <w:rPr/>
        <w:t>DEPARTMENT OF HOME AFFAIRS NOTICE</w:t>
      </w:r>
    </w:p>
    <w:p>
      <w:pPr>
        <w:pStyle w:val="Title"/>
        <w:spacing w:before="201"/>
      </w:pPr>
      <w:r>
        <w:rPr/>
        <w:pict>
          <v:rect style="position:absolute;margin-left:55.919998pt;margin-top:30.260811pt;width:506.04pt;height:.481pt;mso-position-horizontal-relative:page;mso-position-vertical-relative:paragraph;z-index:-15728640;mso-wrap-distance-left:0;mso-wrap-distance-right:0" filled="true" fillcolor="#4f81bd" stroked="false">
            <v:fill type="solid"/>
            <w10:wrap type="topAndBottom"/>
          </v:rect>
        </w:pict>
      </w:r>
      <w:r>
        <w:rPr/>
        <w:t>No</w:t>
      </w:r>
      <w:r>
        <w:rPr>
          <w:color w:val="050505"/>
        </w:rPr>
        <w:t>. 2018/16</w:t>
      </w:r>
    </w:p>
    <w:p>
      <w:pPr>
        <w:pStyle w:val="BodyText"/>
        <w:spacing w:before="7"/>
        <w:rPr>
          <w:b/>
          <w:sz w:val="13"/>
        </w:rPr>
      </w:pPr>
    </w:p>
    <w:p>
      <w:pPr>
        <w:spacing w:before="91"/>
        <w:ind w:left="2090" w:right="2092" w:firstLine="0"/>
        <w:jc w:val="center"/>
        <w:rPr>
          <w:b/>
          <w:sz w:val="26"/>
        </w:rPr>
      </w:pPr>
      <w:bookmarkStart w:name="Applications for Customs Broker Licence" w:id="1"/>
      <w:bookmarkEnd w:id="1"/>
      <w:r>
        <w:rPr/>
      </w:r>
      <w:r>
        <w:rPr>
          <w:b/>
          <w:sz w:val="26"/>
        </w:rPr>
        <w:t>Applications for Customs Broker Licence</w:t>
      </w:r>
    </w:p>
    <w:p>
      <w:pPr>
        <w:pStyle w:val="BodyText"/>
        <w:spacing w:before="7"/>
        <w:rPr>
          <w:b/>
          <w:sz w:val="24"/>
        </w:rPr>
      </w:pPr>
    </w:p>
    <w:p>
      <w:pPr>
        <w:pStyle w:val="BodyText"/>
        <w:ind w:left="720" w:right="1031"/>
      </w:pPr>
      <w:r>
        <w:rPr/>
        <w:t>The following individuals and companies have applied to the Comptroller-General of Customs for a customs broker licence.</w:t>
      </w:r>
    </w:p>
    <w:p>
      <w:pPr>
        <w:pStyle w:val="BodyText"/>
        <w:spacing w:before="9"/>
        <w:rPr>
          <w:sz w:val="21"/>
        </w:rPr>
      </w:pPr>
    </w:p>
    <w:p>
      <w:pPr>
        <w:pStyle w:val="Heading1"/>
        <w:tabs>
          <w:tab w:pos="4084" w:val="left" w:leader="none"/>
          <w:tab w:pos="7485" w:val="left" w:leader="none"/>
        </w:tabs>
        <w:rPr>
          <w:u w:val="none"/>
        </w:rPr>
      </w:pPr>
      <w:r>
        <w:rPr>
          <w:color w:val="050505"/>
          <w:u w:val="thick" w:color="050505"/>
        </w:rPr>
        <w:t>COMPANY</w:t>
      </w:r>
      <w:r>
        <w:rPr>
          <w:color w:val="050505"/>
          <w:u w:val="none"/>
        </w:rPr>
        <w:tab/>
      </w:r>
      <w:r>
        <w:rPr>
          <w:color w:val="050505"/>
          <w:u w:val="thick" w:color="050505"/>
        </w:rPr>
        <w:t>COMPANY</w:t>
      </w:r>
      <w:r>
        <w:rPr>
          <w:color w:val="050505"/>
          <w:u w:val="none"/>
        </w:rPr>
        <w:tab/>
      </w:r>
      <w:r>
        <w:rPr>
          <w:color w:val="050505"/>
          <w:u w:val="thick" w:color="050505"/>
        </w:rPr>
        <w:t>COMPANY</w:t>
      </w:r>
    </w:p>
    <w:p>
      <w:pPr>
        <w:spacing w:after="0"/>
        <w:sectPr>
          <w:type w:val="continuous"/>
          <w:pgSz w:w="11910" w:h="16840"/>
          <w:pgMar w:top="0" w:bottom="280" w:left="0" w:right="0"/>
        </w:sectPr>
      </w:pPr>
    </w:p>
    <w:p>
      <w:pPr>
        <w:pStyle w:val="BodyText"/>
        <w:spacing w:before="3"/>
        <w:ind w:left="828" w:right="20"/>
      </w:pPr>
      <w:r>
        <w:rPr>
          <w:color w:val="050505"/>
        </w:rPr>
        <w:t>All Inclusive Customs and Forwarding Pty. Ltd.</w:t>
      </w:r>
    </w:p>
    <w:p>
      <w:pPr>
        <w:pStyle w:val="BodyText"/>
        <w:tabs>
          <w:tab w:pos="4228" w:val="left" w:leader="none"/>
        </w:tabs>
        <w:spacing w:before="3"/>
        <w:ind w:left="828"/>
      </w:pPr>
      <w:r>
        <w:rPr/>
        <w:br w:type="column"/>
      </w:r>
      <w:r>
        <w:rPr>
          <w:color w:val="050505"/>
        </w:rPr>
        <w:t>End to End Customs</w:t>
      </w:r>
      <w:r>
        <w:rPr>
          <w:color w:val="050505"/>
          <w:spacing w:val="-6"/>
        </w:rPr>
        <w:t> </w:t>
      </w:r>
      <w:r>
        <w:rPr>
          <w:color w:val="050505"/>
        </w:rPr>
        <w:t>Pty.</w:t>
      </w:r>
      <w:r>
        <w:rPr>
          <w:color w:val="050505"/>
          <w:spacing w:val="-1"/>
        </w:rPr>
        <w:t> </w:t>
      </w:r>
      <w:r>
        <w:rPr>
          <w:color w:val="050505"/>
        </w:rPr>
        <w:t>Ltd.</w:t>
        <w:tab/>
        <w:t>Precise Logistics Pty.</w:t>
      </w:r>
      <w:r>
        <w:rPr>
          <w:color w:val="050505"/>
          <w:spacing w:val="-2"/>
        </w:rPr>
        <w:t> </w:t>
      </w:r>
      <w:r>
        <w:rPr>
          <w:color w:val="050505"/>
        </w:rPr>
        <w:t>Ltd.</w:t>
      </w:r>
    </w:p>
    <w:p>
      <w:pPr>
        <w:spacing w:after="0"/>
        <w:sectPr>
          <w:type w:val="continuous"/>
          <w:pgSz w:w="11910" w:h="16840"/>
          <w:pgMar w:top="0" w:bottom="280" w:left="0" w:right="0"/>
          <w:cols w:num="2" w:equalWidth="0">
            <w:col w:w="3158" w:space="99"/>
            <w:col w:w="8653"/>
          </w:cols>
        </w:sectPr>
      </w:pPr>
    </w:p>
    <w:p>
      <w:pPr>
        <w:pStyle w:val="BodyText"/>
        <w:spacing w:before="9"/>
        <w:rPr>
          <w:sz w:val="11"/>
        </w:rPr>
      </w:pPr>
    </w:p>
    <w:p>
      <w:pPr>
        <w:pStyle w:val="BodyText"/>
        <w:tabs>
          <w:tab w:pos="4084" w:val="left" w:leader="none"/>
          <w:tab w:pos="7485" w:val="left" w:leader="none"/>
        </w:tabs>
        <w:spacing w:before="93"/>
        <w:ind w:left="828"/>
      </w:pPr>
      <w:r>
        <w:rPr>
          <w:color w:val="050505"/>
        </w:rPr>
        <w:t>ABN 30 623</w:t>
      </w:r>
      <w:r>
        <w:rPr>
          <w:color w:val="050505"/>
          <w:spacing w:val="-1"/>
        </w:rPr>
        <w:t> </w:t>
      </w:r>
      <w:r>
        <w:rPr>
          <w:color w:val="050505"/>
        </w:rPr>
        <w:t>898</w:t>
      </w:r>
      <w:r>
        <w:rPr>
          <w:color w:val="050505"/>
          <w:spacing w:val="-3"/>
        </w:rPr>
        <w:t> </w:t>
      </w:r>
      <w:r>
        <w:rPr>
          <w:color w:val="050505"/>
        </w:rPr>
        <w:t>895</w:t>
        <w:tab/>
        <w:t>66 603</w:t>
      </w:r>
      <w:r>
        <w:rPr>
          <w:color w:val="050505"/>
          <w:spacing w:val="-4"/>
        </w:rPr>
        <w:t> </w:t>
      </w:r>
      <w:r>
        <w:rPr>
          <w:color w:val="050505"/>
        </w:rPr>
        <w:t>696</w:t>
      </w:r>
      <w:r>
        <w:rPr>
          <w:color w:val="050505"/>
          <w:spacing w:val="-1"/>
        </w:rPr>
        <w:t> </w:t>
      </w:r>
      <w:r>
        <w:rPr>
          <w:color w:val="050505"/>
        </w:rPr>
        <w:t>377</w:t>
        <w:tab/>
        <w:t>ABN 87 624 577</w:t>
      </w:r>
      <w:r>
        <w:rPr>
          <w:color w:val="050505"/>
          <w:spacing w:val="2"/>
        </w:rPr>
        <w:t> </w:t>
      </w:r>
      <w:r>
        <w:rPr>
          <w:color w:val="050505"/>
        </w:rPr>
        <w:t>019</w:t>
      </w:r>
    </w:p>
    <w:p>
      <w:pPr>
        <w:pStyle w:val="BodyText"/>
        <w:spacing w:before="1"/>
      </w:pPr>
    </w:p>
    <w:p>
      <w:pPr>
        <w:pStyle w:val="BodyText"/>
        <w:tabs>
          <w:tab w:pos="4084" w:val="left" w:leader="none"/>
          <w:tab w:pos="7485" w:val="left" w:leader="none"/>
        </w:tabs>
        <w:ind w:left="828" w:right="2230"/>
      </w:pPr>
      <w:r>
        <w:rPr>
          <w:color w:val="050505"/>
        </w:rPr>
        <w:t>87</w:t>
      </w:r>
      <w:r>
        <w:rPr>
          <w:color w:val="050505"/>
          <w:spacing w:val="-4"/>
        </w:rPr>
        <w:t> </w:t>
      </w:r>
      <w:r>
        <w:rPr>
          <w:color w:val="050505"/>
        </w:rPr>
        <w:t>Egerton</w:t>
      </w:r>
      <w:r>
        <w:rPr>
          <w:color w:val="050505"/>
          <w:spacing w:val="-3"/>
        </w:rPr>
        <w:t> </w:t>
      </w:r>
      <w:r>
        <w:rPr>
          <w:color w:val="050505"/>
        </w:rPr>
        <w:t>Street</w:t>
        <w:tab/>
        <w:t>60</w:t>
      </w:r>
      <w:r>
        <w:rPr>
          <w:color w:val="050505"/>
          <w:spacing w:val="-6"/>
        </w:rPr>
        <w:t> </w:t>
      </w:r>
      <w:r>
        <w:rPr>
          <w:color w:val="050505"/>
        </w:rPr>
        <w:t>Woodlands</w:t>
      </w:r>
      <w:r>
        <w:rPr>
          <w:color w:val="050505"/>
          <w:spacing w:val="-2"/>
        </w:rPr>
        <w:t> </w:t>
      </w:r>
      <w:r>
        <w:rPr>
          <w:color w:val="050505"/>
        </w:rPr>
        <w:t>Drive</w:t>
        <w:tab/>
        <w:t>206 Kiora Road Silverwater </w:t>
      </w:r>
      <w:r>
        <w:rPr>
          <w:color w:val="050505"/>
          <w:spacing w:val="50"/>
        </w:rPr>
        <w:t> </w:t>
      </w:r>
      <w:r>
        <w:rPr>
          <w:color w:val="050505"/>
        </w:rPr>
        <w:t>NSW </w:t>
      </w:r>
      <w:r>
        <w:rPr>
          <w:color w:val="050505"/>
          <w:spacing w:val="55"/>
        </w:rPr>
        <w:t> </w:t>
      </w:r>
      <w:r>
        <w:rPr>
          <w:color w:val="050505"/>
        </w:rPr>
        <w:t>2128</w:t>
        <w:tab/>
        <w:t>Thornlands </w:t>
      </w:r>
      <w:r>
        <w:rPr>
          <w:color w:val="050505"/>
          <w:spacing w:val="51"/>
        </w:rPr>
        <w:t> </w:t>
      </w:r>
      <w:r>
        <w:rPr>
          <w:color w:val="050505"/>
        </w:rPr>
        <w:t>QLD </w:t>
      </w:r>
      <w:r>
        <w:rPr>
          <w:color w:val="050505"/>
          <w:spacing w:val="53"/>
        </w:rPr>
        <w:t> </w:t>
      </w:r>
      <w:r>
        <w:rPr>
          <w:color w:val="050505"/>
        </w:rPr>
        <w:t>4164</w:t>
        <w:tab/>
        <w:t>Yowie Bay NSW</w:t>
      </w:r>
      <w:r>
        <w:rPr>
          <w:color w:val="050505"/>
          <w:spacing w:val="47"/>
        </w:rPr>
        <w:t> </w:t>
      </w:r>
      <w:r>
        <w:rPr>
          <w:color w:val="050505"/>
        </w:rPr>
        <w:t>2228</w:t>
      </w:r>
    </w:p>
    <w:p>
      <w:pPr>
        <w:pStyle w:val="BodyText"/>
        <w:spacing w:before="10"/>
        <w:rPr>
          <w:sz w:val="19"/>
        </w:rPr>
      </w:pPr>
    </w:p>
    <w:p>
      <w:pPr>
        <w:pStyle w:val="Heading1"/>
        <w:tabs>
          <w:tab w:pos="4084" w:val="left" w:leader="none"/>
          <w:tab w:pos="7485" w:val="left" w:leader="none"/>
        </w:tabs>
        <w:rPr>
          <w:u w:val="none"/>
        </w:rPr>
      </w:pPr>
      <w:r>
        <w:rPr>
          <w:color w:val="050505"/>
          <w:u w:val="thick" w:color="050505"/>
        </w:rPr>
        <w:t>Person</w:t>
      </w:r>
      <w:r>
        <w:rPr>
          <w:color w:val="050505"/>
          <w:spacing w:val="-4"/>
          <w:u w:val="thick" w:color="050505"/>
        </w:rPr>
        <w:t> </w:t>
      </w:r>
      <w:r>
        <w:rPr>
          <w:color w:val="050505"/>
          <w:u w:val="thick" w:color="050505"/>
        </w:rPr>
        <w:t>in</w:t>
      </w:r>
      <w:r>
        <w:rPr>
          <w:color w:val="050505"/>
          <w:spacing w:val="2"/>
          <w:u w:val="thick" w:color="050505"/>
        </w:rPr>
        <w:t> </w:t>
      </w:r>
      <w:r>
        <w:rPr>
          <w:color w:val="050505"/>
          <w:u w:val="thick" w:color="050505"/>
        </w:rPr>
        <w:t>Authority</w:t>
      </w:r>
      <w:r>
        <w:rPr>
          <w:color w:val="050505"/>
          <w:u w:val="none"/>
        </w:rPr>
        <w:tab/>
      </w:r>
      <w:r>
        <w:rPr>
          <w:color w:val="050505"/>
          <w:u w:val="thick" w:color="050505"/>
        </w:rPr>
        <w:t>Person</w:t>
      </w:r>
      <w:r>
        <w:rPr>
          <w:color w:val="050505"/>
          <w:spacing w:val="-4"/>
          <w:u w:val="thick" w:color="050505"/>
        </w:rPr>
        <w:t> </w:t>
      </w:r>
      <w:r>
        <w:rPr>
          <w:color w:val="050505"/>
          <w:u w:val="thick" w:color="050505"/>
        </w:rPr>
        <w:t>in</w:t>
      </w:r>
      <w:r>
        <w:rPr>
          <w:color w:val="050505"/>
          <w:spacing w:val="2"/>
          <w:u w:val="thick" w:color="050505"/>
        </w:rPr>
        <w:t> </w:t>
      </w:r>
      <w:r>
        <w:rPr>
          <w:color w:val="050505"/>
          <w:u w:val="thick" w:color="050505"/>
        </w:rPr>
        <w:t>Authority</w:t>
      </w:r>
      <w:r>
        <w:rPr>
          <w:color w:val="050505"/>
          <w:u w:val="none"/>
        </w:rPr>
        <w:tab/>
      </w:r>
      <w:r>
        <w:rPr>
          <w:color w:val="050505"/>
          <w:u w:val="thick" w:color="050505"/>
        </w:rPr>
        <w:t>Person in</w:t>
      </w:r>
      <w:r>
        <w:rPr>
          <w:color w:val="050505"/>
          <w:spacing w:val="4"/>
          <w:u w:val="thick" w:color="050505"/>
        </w:rPr>
        <w:t> </w:t>
      </w:r>
      <w:r>
        <w:rPr>
          <w:color w:val="050505"/>
          <w:u w:val="thick" w:color="050505"/>
        </w:rPr>
        <w:t>Authority</w:t>
      </w:r>
    </w:p>
    <w:p>
      <w:pPr>
        <w:pStyle w:val="BodyText"/>
        <w:tabs>
          <w:tab w:pos="4084" w:val="left" w:leader="none"/>
          <w:tab w:pos="7485" w:val="left" w:leader="none"/>
        </w:tabs>
        <w:spacing w:before="1"/>
        <w:ind w:left="7485" w:right="1908" w:hanging="6658"/>
      </w:pPr>
      <w:r>
        <w:rPr>
          <w:color w:val="050505"/>
        </w:rPr>
        <w:t>Zoran</w:t>
      </w:r>
      <w:r>
        <w:rPr>
          <w:color w:val="050505"/>
          <w:spacing w:val="-3"/>
        </w:rPr>
        <w:t> </w:t>
      </w:r>
      <w:r>
        <w:rPr>
          <w:color w:val="050505"/>
        </w:rPr>
        <w:t>Talevski</w:t>
        <w:tab/>
        <w:t>Tex-William Gerard</w:t>
      </w:r>
      <w:r>
        <w:rPr>
          <w:color w:val="050505"/>
          <w:spacing w:val="-5"/>
        </w:rPr>
        <w:t> </w:t>
      </w:r>
      <w:r>
        <w:rPr>
          <w:color w:val="050505"/>
        </w:rPr>
        <w:t>Longhorn</w:t>
        <w:tab/>
        <w:t>Derek Paul Wetterling Christopher Mark</w:t>
      </w:r>
      <w:r>
        <w:rPr>
          <w:color w:val="050505"/>
          <w:spacing w:val="-11"/>
        </w:rPr>
        <w:t> </w:t>
      </w:r>
      <w:r>
        <w:rPr>
          <w:color w:val="050505"/>
        </w:rPr>
        <w:t>Armstrong</w:t>
      </w:r>
    </w:p>
    <w:p>
      <w:pPr>
        <w:pStyle w:val="BodyText"/>
        <w:spacing w:before="10"/>
        <w:rPr>
          <w:sz w:val="19"/>
        </w:rPr>
      </w:pPr>
    </w:p>
    <w:p>
      <w:pPr>
        <w:pStyle w:val="Heading1"/>
        <w:tabs>
          <w:tab w:pos="4084" w:val="left" w:leader="none"/>
          <w:tab w:pos="7485" w:val="left" w:leader="none"/>
        </w:tabs>
        <w:rPr>
          <w:u w:val="none"/>
        </w:rPr>
      </w:pPr>
      <w:r>
        <w:rPr>
          <w:color w:val="050505"/>
          <w:u w:val="thick" w:color="050505"/>
        </w:rPr>
        <w:t>Nominee</w:t>
      </w:r>
      <w:r>
        <w:rPr>
          <w:color w:val="050505"/>
          <w:spacing w:val="-3"/>
          <w:u w:val="thick" w:color="050505"/>
        </w:rPr>
        <w:t> </w:t>
      </w:r>
      <w:r>
        <w:rPr>
          <w:color w:val="050505"/>
          <w:u w:val="thick" w:color="050505"/>
        </w:rPr>
        <w:t>Broker</w:t>
      </w:r>
      <w:r>
        <w:rPr>
          <w:color w:val="050505"/>
          <w:u w:val="none"/>
        </w:rPr>
        <w:tab/>
      </w:r>
      <w:r>
        <w:rPr>
          <w:color w:val="050505"/>
          <w:u w:val="thick" w:color="050505"/>
        </w:rPr>
        <w:t>Nominee</w:t>
      </w:r>
      <w:r>
        <w:rPr>
          <w:color w:val="050505"/>
          <w:spacing w:val="-3"/>
          <w:u w:val="thick" w:color="050505"/>
        </w:rPr>
        <w:t> </w:t>
      </w:r>
      <w:r>
        <w:rPr>
          <w:color w:val="050505"/>
          <w:u w:val="thick" w:color="050505"/>
        </w:rPr>
        <w:t>Broker</w:t>
      </w:r>
      <w:r>
        <w:rPr>
          <w:color w:val="050505"/>
          <w:u w:val="none"/>
        </w:rPr>
        <w:tab/>
      </w:r>
      <w:r>
        <w:rPr>
          <w:color w:val="050505"/>
          <w:u w:val="thick" w:color="050505"/>
        </w:rPr>
        <w:t>Nominee</w:t>
      </w:r>
      <w:r>
        <w:rPr>
          <w:color w:val="050505"/>
          <w:spacing w:val="-2"/>
          <w:u w:val="thick" w:color="050505"/>
        </w:rPr>
        <w:t> </w:t>
      </w:r>
      <w:r>
        <w:rPr>
          <w:color w:val="050505"/>
          <w:u w:val="thick" w:color="050505"/>
        </w:rPr>
        <w:t>Broker</w:t>
      </w:r>
    </w:p>
    <w:p>
      <w:pPr>
        <w:pStyle w:val="BodyText"/>
        <w:tabs>
          <w:tab w:pos="4084" w:val="left" w:leader="none"/>
          <w:tab w:pos="7485" w:val="left" w:leader="none"/>
        </w:tabs>
        <w:spacing w:before="3"/>
        <w:ind w:left="4084" w:right="2474" w:hanging="3257"/>
      </w:pPr>
      <w:r>
        <w:rPr>
          <w:color w:val="050505"/>
        </w:rPr>
        <w:t>Zoran</w:t>
      </w:r>
      <w:r>
        <w:rPr>
          <w:color w:val="050505"/>
          <w:spacing w:val="-3"/>
        </w:rPr>
        <w:t> </w:t>
      </w:r>
      <w:r>
        <w:rPr>
          <w:color w:val="050505"/>
        </w:rPr>
        <w:t>Talevski</w:t>
        <w:tab/>
        <w:t>Tex-William Gerard</w:t>
      </w:r>
      <w:r>
        <w:rPr>
          <w:color w:val="050505"/>
          <w:spacing w:val="-5"/>
        </w:rPr>
        <w:t> </w:t>
      </w:r>
      <w:r>
        <w:rPr>
          <w:color w:val="050505"/>
        </w:rPr>
        <w:t>Longhorn</w:t>
        <w:tab/>
        <w:t>Derek Paul Wetterling Paul Gerard</w:t>
      </w:r>
      <w:r>
        <w:rPr>
          <w:color w:val="050505"/>
          <w:spacing w:val="-2"/>
        </w:rPr>
        <w:t> </w:t>
      </w:r>
      <w:r>
        <w:rPr>
          <w:color w:val="050505"/>
        </w:rPr>
        <w:t>Longhorn</w:t>
      </w:r>
    </w:p>
    <w:p>
      <w:pPr>
        <w:pStyle w:val="BodyText"/>
        <w:spacing w:before="8"/>
        <w:rPr>
          <w:sz w:val="19"/>
        </w:rPr>
      </w:pPr>
    </w:p>
    <w:p>
      <w:pPr>
        <w:pStyle w:val="Heading1"/>
        <w:rPr>
          <w:u w:val="none"/>
        </w:rPr>
      </w:pPr>
      <w:r>
        <w:rPr>
          <w:color w:val="050505"/>
          <w:u w:val="thick" w:color="050505"/>
        </w:rPr>
        <w:t>INDIVIDUALS</w:t>
      </w:r>
    </w:p>
    <w:p>
      <w:pPr>
        <w:pStyle w:val="BodyText"/>
        <w:spacing w:before="3"/>
        <w:ind w:left="828" w:right="8992"/>
      </w:pPr>
      <w:r>
        <w:rPr/>
        <w:t>Dan Adrian Coser Tracy Lee Ferguson Rebecca Nicole Healey Zdenko</w:t>
      </w:r>
      <w:r>
        <w:rPr>
          <w:spacing w:val="-2"/>
        </w:rPr>
        <w:t> </w:t>
      </w:r>
      <w:r>
        <w:rPr/>
        <w:t>Novak</w:t>
      </w:r>
    </w:p>
    <w:p>
      <w:pPr>
        <w:pStyle w:val="BodyText"/>
        <w:spacing w:line="229" w:lineRule="exact"/>
        <w:ind w:left="828"/>
      </w:pPr>
      <w:r>
        <w:rPr/>
        <w:t>Regina Mae Sarmiento</w:t>
      </w:r>
    </w:p>
    <w:p>
      <w:pPr>
        <w:pStyle w:val="BodyText"/>
        <w:spacing w:before="11"/>
        <w:rPr>
          <w:sz w:val="21"/>
        </w:rPr>
      </w:pPr>
    </w:p>
    <w:p>
      <w:pPr>
        <w:pStyle w:val="BodyText"/>
        <w:ind w:left="720" w:right="1542"/>
      </w:pPr>
      <w:r>
        <w:rPr/>
        <w:pict>
          <v:shapetype id="_x0000_t202" o:spt="202" coordsize="21600,21600" path="m,l,21600r21600,l21600,xe">
            <v:stroke joinstyle="miter"/>
            <v:path gradientshapeok="t" o:connecttype="rect"/>
          </v:shapetype>
          <v:shape style="position:absolute;margin-left:31.4pt;margin-top:34.923359pt;width:299.850pt;height:45.6pt;mso-position-horizontal-relative:page;mso-position-vertical-relative:paragraph;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8"/>
                    <w:gridCol w:w="2349"/>
                  </w:tblGrid>
                  <w:tr>
                    <w:trPr>
                      <w:trHeight w:val="911" w:hRule="atLeast"/>
                    </w:trPr>
                    <w:tc>
                      <w:tcPr>
                        <w:tcW w:w="3648" w:type="dxa"/>
                      </w:tcPr>
                      <w:p>
                        <w:pPr>
                          <w:pStyle w:val="TableParagraph"/>
                          <w:ind w:right="1244"/>
                          <w:rPr>
                            <w:sz w:val="20"/>
                          </w:rPr>
                        </w:pPr>
                        <w:r>
                          <w:rPr>
                            <w:sz w:val="20"/>
                          </w:rPr>
                          <w:t>Broker Licensing Australian Border Force 5 Constitution Avenue</w:t>
                        </w:r>
                      </w:p>
                      <w:p>
                        <w:pPr>
                          <w:pStyle w:val="TableParagraph"/>
                          <w:spacing w:line="209" w:lineRule="exact"/>
                          <w:ind w:right="0"/>
                          <w:rPr>
                            <w:sz w:val="20"/>
                          </w:rPr>
                        </w:pPr>
                        <w:r>
                          <w:rPr>
                            <w:sz w:val="20"/>
                          </w:rPr>
                          <w:t>CANBERRA ACT 2601</w:t>
                        </w:r>
                      </w:p>
                    </w:tc>
                    <w:tc>
                      <w:tcPr>
                        <w:tcW w:w="2349" w:type="dxa"/>
                      </w:tcPr>
                      <w:p>
                        <w:pPr>
                          <w:pStyle w:val="TableParagraph"/>
                          <w:spacing w:before="115"/>
                          <w:ind w:left="1337"/>
                          <w:rPr>
                            <w:sz w:val="20"/>
                          </w:rPr>
                        </w:pPr>
                        <w:r>
                          <w:rPr>
                            <w:sz w:val="20"/>
                          </w:rPr>
                          <w:t>Or email: </w:t>
                        </w:r>
                        <w:hyperlink r:id="rId6">
                          <w:r>
                            <w:rPr>
                              <w:color w:val="002060"/>
                              <w:sz w:val="20"/>
                              <w:u w:val="single" w:color="002060"/>
                            </w:rPr>
                            <w:t>brokers.licen</w:t>
                          </w:r>
                        </w:hyperlink>
                      </w:p>
                    </w:tc>
                  </w:tr>
                </w:tbl>
                <w:p>
                  <w:pPr>
                    <w:pStyle w:val="BodyText"/>
                  </w:pPr>
                </w:p>
              </w:txbxContent>
            </v:textbox>
            <w10:wrap type="none"/>
          </v:shape>
        </w:pict>
      </w:r>
      <w:r>
        <w:rPr/>
        <w:t>Any person wishing to make written representation in respect of any of these applications should address the correspondence by 18 May 2018 to:</w:t>
      </w:r>
    </w:p>
    <w:p>
      <w:pPr>
        <w:pStyle w:val="BodyText"/>
        <w:rPr>
          <w:sz w:val="22"/>
        </w:rPr>
      </w:pPr>
    </w:p>
    <w:p>
      <w:pPr>
        <w:pStyle w:val="BodyText"/>
        <w:spacing w:before="9"/>
        <w:rPr>
          <w:sz w:val="28"/>
        </w:rPr>
      </w:pPr>
    </w:p>
    <w:p>
      <w:pPr>
        <w:pStyle w:val="BodyText"/>
        <w:ind w:left="6746"/>
      </w:pPr>
      <w:hyperlink r:id="rId6">
        <w:r>
          <w:rPr>
            <w:color w:val="002060"/>
            <w:u w:val="single" w:color="002060"/>
          </w:rPr>
          <w:t>sing@homeaffairs.gov.au</w:t>
        </w:r>
      </w:hyperlink>
    </w:p>
    <w:p>
      <w:pPr>
        <w:pStyle w:val="BodyText"/>
        <w:rPr>
          <w:sz w:val="22"/>
        </w:rPr>
      </w:pPr>
    </w:p>
    <w:p>
      <w:pPr>
        <w:pStyle w:val="BodyText"/>
        <w:spacing w:before="6"/>
        <w:rPr>
          <w:sz w:val="28"/>
        </w:rPr>
      </w:pPr>
    </w:p>
    <w:p>
      <w:pPr>
        <w:pStyle w:val="BodyText"/>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7"/>
        <w:rPr>
          <w:sz w:val="30"/>
        </w:rPr>
      </w:pPr>
    </w:p>
    <w:p>
      <w:pPr>
        <w:pStyle w:val="BodyText"/>
        <w:ind w:left="720"/>
      </w:pPr>
      <w:r>
        <w:rPr/>
        <w:t>[signed]</w:t>
      </w:r>
    </w:p>
    <w:p>
      <w:pPr>
        <w:pStyle w:val="BodyText"/>
        <w:spacing w:before="10"/>
        <w:rPr>
          <w:sz w:val="19"/>
        </w:rPr>
      </w:pPr>
    </w:p>
    <w:p>
      <w:pPr>
        <w:pStyle w:val="BodyText"/>
        <w:ind w:left="719" w:right="9814"/>
      </w:pPr>
      <w:r>
        <w:rPr/>
        <w:t>Stephen Hledik Superintendent</w:t>
      </w:r>
    </w:p>
    <w:p>
      <w:pPr>
        <w:pStyle w:val="BodyText"/>
        <w:spacing w:before="1"/>
        <w:ind w:left="719" w:right="7935"/>
      </w:pPr>
      <w:r>
        <w:rPr/>
        <w:t>Trade and Goods Operational Policy CANBERRA ACT</w:t>
      </w:r>
    </w:p>
    <w:p>
      <w:pPr>
        <w:pStyle w:val="BodyText"/>
        <w:spacing w:before="10"/>
        <w:rPr>
          <w:sz w:val="19"/>
        </w:rPr>
      </w:pPr>
    </w:p>
    <w:p>
      <w:pPr>
        <w:pStyle w:val="BodyText"/>
        <w:spacing w:before="1"/>
        <w:ind w:left="719"/>
      </w:pPr>
      <w:r>
        <w:rPr/>
        <w:t>2 May 2018</w:t>
      </w:r>
    </w:p>
    <w:p>
      <w:pPr>
        <w:pStyle w:val="BodyText"/>
      </w:pPr>
    </w:p>
    <w:p>
      <w:pPr>
        <w:pStyle w:val="BodyText"/>
        <w:spacing w:before="4"/>
        <w:rPr>
          <w:sz w:val="10"/>
        </w:rPr>
      </w:pPr>
      <w:r>
        <w:rPr/>
        <w:pict>
          <v:rect style="position:absolute;margin-left:56.639999pt;margin-top:7.939956pt;width:481.92pt;height:.481pt;mso-position-horizontal-relative:page;mso-position-vertical-relative:paragraph;z-index:-15728128;mso-wrap-distance-left:0;mso-wrap-distance-right:0" filled="true" fillcolor="#000000" stroked="false">
            <v:fill type="solid"/>
            <w10:wrap type="topAndBottom"/>
          </v:rect>
        </w:pict>
      </w:r>
    </w:p>
    <w:p>
      <w:pPr>
        <w:spacing w:before="130"/>
        <w:ind w:left="2092" w:right="2092" w:firstLine="0"/>
        <w:jc w:val="center"/>
        <w:rPr>
          <w:sz w:val="16"/>
        </w:rPr>
      </w:pPr>
      <w:r>
        <w:rPr>
          <w:sz w:val="16"/>
        </w:rPr>
        <w:t>6 Chan Street Belconnen ACT 2617</w:t>
      </w:r>
    </w:p>
    <w:p>
      <w:pPr>
        <w:spacing w:before="18"/>
        <w:ind w:left="2092" w:right="2092" w:firstLine="0"/>
        <w:jc w:val="center"/>
        <w:rPr>
          <w:sz w:val="16"/>
        </w:rPr>
      </w:pPr>
      <w:r>
        <w:rPr>
          <w:sz w:val="16"/>
        </w:rPr>
        <w:t>PO Box 25 Belconnen ACT 2616 • Telephone: 02 6264 1111 • Fax: 02 6225 6970 •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828"/>
      <w:outlineLvl w:val="1"/>
    </w:pPr>
    <w:rPr>
      <w:rFonts w:ascii="Arial" w:hAnsi="Arial" w:eastAsia="Arial" w:cs="Arial"/>
      <w:b/>
      <w:bCs/>
      <w:sz w:val="20"/>
      <w:szCs w:val="20"/>
      <w:u w:val="single" w:color="000000"/>
      <w:lang w:val="en-au" w:eastAsia="en-US" w:bidi="ar-SA"/>
    </w:rPr>
  </w:style>
  <w:style w:styleId="Title" w:type="paragraph">
    <w:name w:val="Title"/>
    <w:basedOn w:val="Normal"/>
    <w:uiPriority w:val="1"/>
    <w:qFormat/>
    <w:pPr>
      <w:spacing w:before="92"/>
      <w:ind w:left="2092" w:right="164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right="-142"/>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Comptroller-General, Customs broker license applications</cp:keywords>
  <dc:subject>Applications for Customs Broker Licence</dc:subject>
  <dc:title>Department of Home Affairs Notice No. 2018/16</dc:title>
  <dcterms:created xsi:type="dcterms:W3CDTF">2020-12-09T23:22:01Z</dcterms:created>
  <dcterms:modified xsi:type="dcterms:W3CDTF">2020-12-09T23:22:01Z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2018-05-02T00:00:00Z</vt:filetime>
  </property>
  <property fmtid="{D5CDD505-2E9C-101B-9397-08002B2CF9AE}" pid="3" name="Creator">
    <vt:lpwstr>Acrobat PDFMaker 15 for Word</vt:lpwstr>
  </property>
  <property fmtid="{D5CDD505-2E9C-101B-9397-08002B2CF9AE}" pid="4" name="LastSaved">
    <vt:filetime>2020-12-09T00:00:00Z</vt:filetime>
  </property>
</Properties>
</file>