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spacing w:before="3"/>
        <w:rPr>
          <w:rFonts w:ascii="Times New Roman"/>
          <w:sz w:val="29"/>
        </w:rPr>
      </w:pPr>
    </w:p>
    <w:p>
      <w:pPr>
        <w:pStyle w:val="Title"/>
      </w:pPr>
      <w:bookmarkStart w:name="DEPARTMENT OF HOME AFFAIRS NOTICE" w:id="1"/>
      <w:bookmarkEnd w:id="1"/>
      <w:r>
        <w:rPr>
          <w:b w:val="0"/>
        </w:rPr>
      </w:r>
      <w:r>
        <w:rPr>
          <w:color w:val="034EA2"/>
        </w:rPr>
        <w:t>DEPARTMENT OF HOME AFFAIRS NOTICE</w:t>
      </w:r>
    </w:p>
    <w:p>
      <w:pPr>
        <w:pStyle w:val="Title"/>
        <w:spacing w:before="169"/>
      </w:pPr>
      <w:bookmarkStart w:name="No. 2018/23" w:id="2"/>
      <w:bookmarkEnd w:id="2"/>
      <w:r>
        <w:rPr>
          <w:b w:val="0"/>
        </w:rPr>
      </w:r>
      <w:r>
        <w:rPr>
          <w:color w:val="034EA2"/>
        </w:rPr>
        <w:t>No. 2018/23</w:t>
      </w:r>
    </w:p>
    <w:p>
      <w:pPr>
        <w:pStyle w:val="Heading1"/>
        <w:spacing w:before="49"/>
        <w:ind w:left="1132"/>
      </w:pPr>
      <w:bookmarkStart w:name="Item 1 By-law No.1339704 – revocation an" w:id="3"/>
      <w:bookmarkEnd w:id="3"/>
      <w:r>
        <w:rPr>
          <w:b w:val="0"/>
        </w:rPr>
      </w:r>
      <w:r>
        <w:rPr/>
        <w:t>Item 1 By-law No.1339704 – revocation and replacement</w:t>
      </w:r>
    </w:p>
    <w:p>
      <w:pPr>
        <w:pStyle w:val="BodyText"/>
        <w:spacing w:before="7"/>
        <w:rPr>
          <w:b/>
          <w:sz w:val="23"/>
        </w:rPr>
      </w:pPr>
    </w:p>
    <w:p>
      <w:pPr>
        <w:pStyle w:val="BodyText"/>
        <w:spacing w:line="264" w:lineRule="auto"/>
        <w:ind w:left="1132" w:right="1646"/>
      </w:pPr>
      <w:r>
        <w:rPr/>
        <w:t>From 20 July 2018 by-law No.1339704 will be revoked and replaced by by-law No.1800146. By-law No. 1800146 incorporates minor amendments that are required to update the by-law and re-align it with current</w:t>
      </w:r>
      <w:r>
        <w:rPr>
          <w:spacing w:val="-2"/>
        </w:rPr>
        <w:t> </w:t>
      </w:r>
      <w:r>
        <w:rPr/>
        <w:t>legislation.</w:t>
      </w:r>
    </w:p>
    <w:p>
      <w:pPr>
        <w:pStyle w:val="Heading3"/>
        <w:spacing w:before="117"/>
      </w:pPr>
      <w:r>
        <w:rPr/>
        <w:t>Changes to institutions and organisations listed in Table A</w:t>
      </w:r>
    </w:p>
    <w:p>
      <w:pPr>
        <w:pStyle w:val="BodyText"/>
        <w:spacing w:before="147"/>
        <w:ind w:left="1132"/>
      </w:pPr>
      <w:r>
        <w:rPr/>
        <w:t>Table A lists institutions and organisations to which concessional item 1 of Schedule 4 applies.</w:t>
      </w:r>
    </w:p>
    <w:p>
      <w:pPr>
        <w:spacing w:line="264" w:lineRule="auto" w:before="142"/>
        <w:ind w:left="1132" w:right="1387" w:firstLine="0"/>
        <w:jc w:val="left"/>
        <w:rPr>
          <w:sz w:val="20"/>
        </w:rPr>
      </w:pPr>
      <w:r>
        <w:rPr>
          <w:sz w:val="20"/>
        </w:rPr>
        <w:t>The Australian Astronomical Observatory (AAO) has been removed from the list of institutions and organisations in Table A. The AAO was abolished by the </w:t>
      </w:r>
      <w:r>
        <w:rPr>
          <w:i/>
          <w:sz w:val="20"/>
        </w:rPr>
        <w:t>Australian Astronomical Observatory (Transition) Act 2018</w:t>
      </w:r>
      <w:r>
        <w:rPr>
          <w:sz w:val="20"/>
        </w:rPr>
        <w:t>.</w:t>
      </w:r>
    </w:p>
    <w:p>
      <w:pPr>
        <w:pStyle w:val="BodyText"/>
        <w:spacing w:line="266" w:lineRule="auto"/>
        <w:ind w:left="1132" w:right="1196"/>
      </w:pPr>
      <w:r>
        <w:rPr/>
        <w:t>The names of several other organisations and institutions listed in Table A have also been updated to reflect recent name changes.</w:t>
      </w:r>
    </w:p>
    <w:p>
      <w:pPr>
        <w:pStyle w:val="Heading3"/>
        <w:spacing w:before="113"/>
      </w:pPr>
      <w:r>
        <w:rPr/>
        <w:t>Amended references to other legislation listed in the by-law</w:t>
      </w:r>
    </w:p>
    <w:p>
      <w:pPr>
        <w:pStyle w:val="BodyText"/>
        <w:spacing w:line="266" w:lineRule="auto" w:before="144"/>
        <w:ind w:left="1132" w:right="1230"/>
      </w:pPr>
      <w:r>
        <w:rPr/>
        <w:t>Paragraph 4 of the by-law provides an additional list of institutions and organisation eligible for concessional duty treatment under item 1 of Schedule 4.</w:t>
      </w:r>
    </w:p>
    <w:p>
      <w:pPr>
        <w:spacing w:before="113"/>
        <w:ind w:left="1132" w:right="0" w:firstLine="0"/>
        <w:jc w:val="left"/>
        <w:rPr>
          <w:sz w:val="20"/>
        </w:rPr>
      </w:pPr>
      <w:r>
        <w:rPr>
          <w:sz w:val="20"/>
        </w:rPr>
        <w:t>The reference to the </w:t>
      </w:r>
      <w:r>
        <w:rPr>
          <w:i/>
          <w:sz w:val="20"/>
        </w:rPr>
        <w:t>State Grants (Schools Assistance) Act 1984 </w:t>
      </w:r>
      <w:r>
        <w:rPr>
          <w:sz w:val="20"/>
        </w:rPr>
        <w:t>has been replaced by a reference to the</w:t>
      </w:r>
    </w:p>
    <w:p>
      <w:pPr>
        <w:spacing w:before="25"/>
        <w:ind w:left="1132" w:right="0" w:firstLine="0"/>
        <w:jc w:val="left"/>
        <w:rPr>
          <w:sz w:val="20"/>
        </w:rPr>
      </w:pPr>
      <w:r>
        <w:rPr>
          <w:i/>
          <w:sz w:val="20"/>
        </w:rPr>
        <w:t>Australian Education Act 2013 </w:t>
      </w:r>
      <w:r>
        <w:rPr>
          <w:sz w:val="20"/>
        </w:rPr>
        <w:t>to realign the by-law with other Commonwealth legislation</w:t>
      </w:r>
      <w:r>
        <w:rPr>
          <w:i/>
          <w:sz w:val="20"/>
        </w:rPr>
        <w:t>.</w:t>
      </w:r>
      <w:r>
        <w:rPr>
          <w:sz w:val="20"/>
        </w:rPr>
        <w:t>\</w:t>
      </w:r>
    </w:p>
    <w:p>
      <w:pPr>
        <w:pStyle w:val="Heading3"/>
        <w:spacing w:before="142"/>
      </w:pPr>
      <w:r>
        <w:rPr/>
        <w:t>Use of By-law No.1800146</w:t>
      </w:r>
    </w:p>
    <w:p>
      <w:pPr>
        <w:pStyle w:val="BodyText"/>
        <w:spacing w:line="266" w:lineRule="auto" w:before="144"/>
        <w:ind w:left="1132" w:right="1864"/>
      </w:pPr>
      <w:r>
        <w:rPr/>
        <w:t>The use of by-law No.1800146 is first conditioned upon meeting the requirements set out in item 1 of Schedule 4, namely that the goods are:</w:t>
      </w:r>
    </w:p>
    <w:p>
      <w:pPr>
        <w:pStyle w:val="ListParagraph"/>
        <w:numPr>
          <w:ilvl w:val="0"/>
          <w:numId w:val="1"/>
        </w:numPr>
        <w:tabs>
          <w:tab w:pos="1853" w:val="left" w:leader="none"/>
        </w:tabs>
        <w:spacing w:line="264" w:lineRule="auto" w:before="131" w:after="0"/>
        <w:ind w:left="1852" w:right="1684" w:hanging="360"/>
        <w:jc w:val="both"/>
        <w:rPr>
          <w:sz w:val="20"/>
        </w:rPr>
      </w:pPr>
      <w:r>
        <w:rPr>
          <w:sz w:val="20"/>
        </w:rPr>
        <w:t>scientific instruments or apparatus to which Annex D to the Educational, Scientific and Cultural Materials Agreement, or Annex D to the Educational, Scientific and Cultural Materials Protocol, applies; or</w:t>
      </w:r>
    </w:p>
    <w:p>
      <w:pPr>
        <w:pStyle w:val="ListParagraph"/>
        <w:numPr>
          <w:ilvl w:val="0"/>
          <w:numId w:val="1"/>
        </w:numPr>
        <w:tabs>
          <w:tab w:pos="1853" w:val="left" w:leader="none"/>
        </w:tabs>
        <w:spacing w:line="264" w:lineRule="auto" w:before="133" w:after="0"/>
        <w:ind w:left="1852" w:right="1591" w:hanging="360"/>
        <w:jc w:val="both"/>
        <w:rPr>
          <w:sz w:val="20"/>
        </w:rPr>
      </w:pPr>
      <w:r>
        <w:rPr>
          <w:sz w:val="20"/>
        </w:rPr>
        <w:t>of a scientific nature and covered by an agreement or arrangement between the Government of Australia and the government of another country or other countries on cooperation in the field of science and</w:t>
      </w:r>
      <w:r>
        <w:rPr>
          <w:spacing w:val="-3"/>
          <w:sz w:val="20"/>
        </w:rPr>
        <w:t> </w:t>
      </w:r>
      <w:r>
        <w:rPr>
          <w:sz w:val="20"/>
        </w:rPr>
        <w:t>technology.</w:t>
      </w:r>
    </w:p>
    <w:p>
      <w:pPr>
        <w:pStyle w:val="BodyText"/>
        <w:spacing w:line="264" w:lineRule="auto" w:before="120"/>
        <w:ind w:left="1132" w:right="1155"/>
        <w:jc w:val="both"/>
      </w:pPr>
      <w:r>
        <w:rPr/>
        <w:t>Relevant exerts from Educational, Scientific and Cultural Materials Agreement (Florence Agreement) and the Educational, Scientific and Cultural Materials Protocol (Nairobi Protocol) are provided at </w:t>
      </w:r>
      <w:r>
        <w:rPr>
          <w:u w:val="single"/>
        </w:rPr>
        <w:t>Attachment A</w:t>
      </w:r>
      <w:r>
        <w:rPr/>
        <w:t>.</w:t>
      </w:r>
    </w:p>
    <w:p>
      <w:pPr>
        <w:pStyle w:val="BodyText"/>
        <w:spacing w:before="10"/>
        <w:rPr>
          <w:sz w:val="13"/>
        </w:rPr>
      </w:pPr>
    </w:p>
    <w:p>
      <w:pPr>
        <w:pStyle w:val="BodyText"/>
        <w:spacing w:line="266" w:lineRule="auto" w:before="93"/>
        <w:ind w:left="1132" w:right="1820"/>
      </w:pPr>
      <w:r>
        <w:rPr/>
        <w:t>The text of by-law No.1800146 will be made available on the Online Tariff and revised Customs Tariff Working Pages are at </w:t>
      </w:r>
      <w:r>
        <w:rPr>
          <w:u w:val="single"/>
        </w:rPr>
        <w:t>Attachment B</w:t>
      </w:r>
      <w:r>
        <w:rPr/>
        <w:t>.</w:t>
      </w:r>
    </w:p>
    <w:p>
      <w:pPr>
        <w:pStyle w:val="BodyText"/>
      </w:pPr>
    </w:p>
    <w:p>
      <w:pPr>
        <w:pStyle w:val="BodyText"/>
      </w:pPr>
    </w:p>
    <w:p>
      <w:pPr>
        <w:pStyle w:val="BodyText"/>
        <w:spacing w:line="370" w:lineRule="atLeast" w:before="116"/>
        <w:ind w:left="1132" w:right="9624"/>
      </w:pPr>
      <w:r>
        <w:rPr/>
        <w:t>[Signed] Steve Moore</w:t>
      </w:r>
    </w:p>
    <w:p>
      <w:pPr>
        <w:pStyle w:val="BodyText"/>
        <w:spacing w:before="26"/>
        <w:ind w:left="1132"/>
      </w:pPr>
      <w:r>
        <w:rPr/>
        <w:t>A/g Assistant Secretary</w:t>
      </w:r>
    </w:p>
    <w:p>
      <w:pPr>
        <w:pStyle w:val="BodyText"/>
        <w:spacing w:line="266" w:lineRule="auto" w:before="22"/>
        <w:ind w:left="1132" w:right="7378"/>
      </w:pPr>
      <w:r>
        <w:rPr/>
        <w:t>Customs and Border Revenue Branch 17 July 2018</w:t>
      </w:r>
    </w:p>
    <w:p>
      <w:pPr>
        <w:spacing w:after="0" w:line="266"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10"/>
        <w:rPr>
          <w:sz w:val="23"/>
        </w:rPr>
      </w:pPr>
    </w:p>
    <w:p>
      <w:pPr>
        <w:pStyle w:val="Heading1"/>
        <w:spacing w:line="441" w:lineRule="auto" w:before="91"/>
        <w:ind w:left="2601" w:right="1118" w:firstLine="6350"/>
      </w:pPr>
      <w:r>
        <w:rPr/>
        <w:drawing>
          <wp:anchor distT="0" distB="0" distL="0" distR="0" allowOverlap="1" layoutInCell="1" locked="0" behindDoc="0" simplePos="0" relativeHeight="15729152">
            <wp:simplePos x="0" y="0"/>
            <wp:positionH relativeFrom="page">
              <wp:posOffset>0</wp:posOffset>
            </wp:positionH>
            <wp:positionV relativeFrom="paragraph">
              <wp:posOffset>-764862</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Attachment A" w:id="4"/>
      <w:bookmarkEnd w:id="4"/>
      <w:r>
        <w:rPr>
          <w:b w:val="0"/>
        </w:rPr>
      </w:r>
      <w:r>
        <w:rPr/>
        <w:t>Attachment A Exerts from the Florence Agreement and the Nairobi Protocol</w:t>
      </w:r>
    </w:p>
    <w:p>
      <w:pPr>
        <w:pStyle w:val="BodyText"/>
        <w:rPr>
          <w:b/>
          <w:sz w:val="31"/>
        </w:rPr>
      </w:pPr>
    </w:p>
    <w:p>
      <w:pPr>
        <w:spacing w:before="0"/>
        <w:ind w:left="1135" w:right="0" w:firstLine="0"/>
        <w:jc w:val="left"/>
        <w:rPr>
          <w:b/>
          <w:sz w:val="28"/>
        </w:rPr>
      </w:pPr>
      <w:r>
        <w:rPr>
          <w:b/>
          <w:sz w:val="28"/>
        </w:rPr>
        <w:t>Florence Agreement – Annex D: Scientific instruments or apparatus</w:t>
      </w:r>
    </w:p>
    <w:p>
      <w:pPr>
        <w:pStyle w:val="BodyText"/>
        <w:spacing w:line="264" w:lineRule="auto" w:before="151"/>
        <w:ind w:left="1135" w:right="1118"/>
      </w:pPr>
      <w:r>
        <w:rPr/>
        <w:t>Scientific instruments or apparatus, intended exclusively for educational purposes or pure scientific research, provided:</w:t>
      </w:r>
    </w:p>
    <w:p>
      <w:pPr>
        <w:pStyle w:val="ListParagraph"/>
        <w:numPr>
          <w:ilvl w:val="0"/>
          <w:numId w:val="2"/>
        </w:numPr>
        <w:tabs>
          <w:tab w:pos="2126" w:val="left" w:leader="none"/>
          <w:tab w:pos="2127" w:val="left" w:leader="none"/>
        </w:tabs>
        <w:spacing w:line="264" w:lineRule="auto" w:before="121" w:after="0"/>
        <w:ind w:left="2126" w:right="1182" w:hanging="711"/>
        <w:jc w:val="left"/>
        <w:rPr>
          <w:sz w:val="20"/>
        </w:rPr>
      </w:pPr>
      <w:r>
        <w:rPr>
          <w:sz w:val="20"/>
        </w:rPr>
        <w:t>That such scientific instruments or apparatus are consigned to public or private scientific or educational institutions approved by the competent authorities of the importing country for the purpose of duty-free entry of these types of articles, and used under the control and responsibility of these</w:t>
      </w:r>
      <w:r>
        <w:rPr>
          <w:spacing w:val="-1"/>
          <w:sz w:val="20"/>
        </w:rPr>
        <w:t> </w:t>
      </w:r>
      <w:r>
        <w:rPr>
          <w:sz w:val="20"/>
        </w:rPr>
        <w:t>institutions;</w:t>
      </w:r>
    </w:p>
    <w:p>
      <w:pPr>
        <w:pStyle w:val="ListParagraph"/>
        <w:numPr>
          <w:ilvl w:val="0"/>
          <w:numId w:val="2"/>
        </w:numPr>
        <w:tabs>
          <w:tab w:pos="2126" w:val="left" w:leader="none"/>
          <w:tab w:pos="2127" w:val="left" w:leader="none"/>
        </w:tabs>
        <w:spacing w:line="266" w:lineRule="auto" w:before="118" w:after="0"/>
        <w:ind w:left="2126" w:right="1521" w:hanging="711"/>
        <w:jc w:val="left"/>
        <w:rPr>
          <w:sz w:val="20"/>
        </w:rPr>
      </w:pPr>
      <w:r>
        <w:rPr>
          <w:sz w:val="20"/>
        </w:rPr>
        <w:t>That instruments or apparatus of equivalent scientific value are not being manufactured in the country of</w:t>
      </w:r>
      <w:r>
        <w:rPr>
          <w:spacing w:val="-2"/>
          <w:sz w:val="20"/>
        </w:rPr>
        <w:t> </w:t>
      </w:r>
      <w:r>
        <w:rPr>
          <w:sz w:val="20"/>
        </w:rPr>
        <w:t>importation.</w:t>
      </w:r>
    </w:p>
    <w:p>
      <w:pPr>
        <w:pStyle w:val="BodyText"/>
        <w:rPr>
          <w:sz w:val="22"/>
        </w:rPr>
      </w:pPr>
    </w:p>
    <w:p>
      <w:pPr>
        <w:pStyle w:val="BodyText"/>
        <w:spacing w:before="6"/>
        <w:rPr>
          <w:sz w:val="29"/>
        </w:rPr>
      </w:pPr>
    </w:p>
    <w:p>
      <w:pPr>
        <w:pStyle w:val="Heading1"/>
        <w:spacing w:before="1"/>
      </w:pPr>
      <w:r>
        <w:rPr/>
        <w:t>Nairobi Protocol – Annex D: Scientific instruments or apparatus</w:t>
      </w:r>
    </w:p>
    <w:p>
      <w:pPr>
        <w:pStyle w:val="BodyText"/>
        <w:spacing w:before="149"/>
        <w:ind w:left="1135"/>
      </w:pPr>
      <w:r>
        <w:rPr/>
        <w:t>Scientific instruments or apparatus, provided:</w:t>
      </w:r>
    </w:p>
    <w:p>
      <w:pPr>
        <w:pStyle w:val="ListParagraph"/>
        <w:numPr>
          <w:ilvl w:val="0"/>
          <w:numId w:val="3"/>
        </w:numPr>
        <w:tabs>
          <w:tab w:pos="1984" w:val="left" w:leader="none"/>
          <w:tab w:pos="1985" w:val="left" w:leader="none"/>
        </w:tabs>
        <w:spacing w:line="264" w:lineRule="auto" w:before="144" w:after="0"/>
        <w:ind w:left="1984" w:right="1376" w:hanging="579"/>
        <w:jc w:val="left"/>
        <w:rPr>
          <w:sz w:val="20"/>
        </w:rPr>
      </w:pPr>
      <w:r>
        <w:rPr>
          <w:sz w:val="20"/>
        </w:rPr>
        <w:t>that they are consigned to public or private scientific or educational institutions approved by the competent</w:t>
      </w:r>
      <w:r>
        <w:rPr>
          <w:spacing w:val="-3"/>
          <w:sz w:val="20"/>
        </w:rPr>
        <w:t> </w:t>
      </w:r>
      <w:r>
        <w:rPr>
          <w:sz w:val="20"/>
        </w:rPr>
        <w:t>authorities</w:t>
      </w:r>
      <w:r>
        <w:rPr>
          <w:spacing w:val="-3"/>
          <w:sz w:val="20"/>
        </w:rPr>
        <w:t> </w:t>
      </w:r>
      <w:r>
        <w:rPr>
          <w:sz w:val="20"/>
        </w:rPr>
        <w:t>of</w:t>
      </w:r>
      <w:r>
        <w:rPr>
          <w:spacing w:val="-2"/>
          <w:sz w:val="20"/>
        </w:rPr>
        <w:t> </w:t>
      </w:r>
      <w:r>
        <w:rPr>
          <w:sz w:val="20"/>
        </w:rPr>
        <w:t>the</w:t>
      </w:r>
      <w:r>
        <w:rPr>
          <w:spacing w:val="-4"/>
          <w:sz w:val="20"/>
        </w:rPr>
        <w:t> </w:t>
      </w:r>
      <w:r>
        <w:rPr>
          <w:sz w:val="20"/>
        </w:rPr>
        <w:t>importing</w:t>
      </w:r>
      <w:r>
        <w:rPr>
          <w:spacing w:val="-4"/>
          <w:sz w:val="20"/>
        </w:rPr>
        <w:t> </w:t>
      </w:r>
      <w:r>
        <w:rPr>
          <w:sz w:val="20"/>
        </w:rPr>
        <w:t>country</w:t>
      </w:r>
      <w:r>
        <w:rPr>
          <w:spacing w:val="-7"/>
          <w:sz w:val="20"/>
        </w:rPr>
        <w:t> </w:t>
      </w:r>
      <w:r>
        <w:rPr>
          <w:sz w:val="20"/>
        </w:rPr>
        <w:t>for</w:t>
      </w:r>
      <w:r>
        <w:rPr>
          <w:spacing w:val="-3"/>
          <w:sz w:val="20"/>
        </w:rPr>
        <w:t> </w:t>
      </w:r>
      <w:r>
        <w:rPr>
          <w:sz w:val="20"/>
        </w:rPr>
        <w:t>the</w:t>
      </w:r>
      <w:r>
        <w:rPr>
          <w:spacing w:val="-2"/>
          <w:sz w:val="20"/>
        </w:rPr>
        <w:t> </w:t>
      </w:r>
      <w:r>
        <w:rPr>
          <w:sz w:val="20"/>
        </w:rPr>
        <w:t>purpose</w:t>
      </w:r>
      <w:r>
        <w:rPr>
          <w:spacing w:val="-2"/>
          <w:sz w:val="20"/>
        </w:rPr>
        <w:t> </w:t>
      </w:r>
      <w:r>
        <w:rPr>
          <w:sz w:val="20"/>
        </w:rPr>
        <w:t>of</w:t>
      </w:r>
      <w:r>
        <w:rPr>
          <w:spacing w:val="-3"/>
          <w:sz w:val="20"/>
        </w:rPr>
        <w:t> </w:t>
      </w:r>
      <w:r>
        <w:rPr>
          <w:sz w:val="20"/>
        </w:rPr>
        <w:t>duty-free</w:t>
      </w:r>
      <w:r>
        <w:rPr>
          <w:spacing w:val="-4"/>
          <w:sz w:val="20"/>
        </w:rPr>
        <w:t> </w:t>
      </w:r>
      <w:r>
        <w:rPr>
          <w:sz w:val="20"/>
        </w:rPr>
        <w:t>entry</w:t>
      </w:r>
      <w:r>
        <w:rPr>
          <w:spacing w:val="-5"/>
          <w:sz w:val="20"/>
        </w:rPr>
        <w:t> </w:t>
      </w:r>
      <w:r>
        <w:rPr>
          <w:sz w:val="20"/>
        </w:rPr>
        <w:t>of</w:t>
      </w:r>
      <w:r>
        <w:rPr>
          <w:spacing w:val="-2"/>
          <w:sz w:val="20"/>
        </w:rPr>
        <w:t> </w:t>
      </w:r>
      <w:r>
        <w:rPr>
          <w:sz w:val="20"/>
        </w:rPr>
        <w:t>these</w:t>
      </w:r>
      <w:r>
        <w:rPr>
          <w:spacing w:val="-4"/>
          <w:sz w:val="20"/>
        </w:rPr>
        <w:t> </w:t>
      </w:r>
      <w:r>
        <w:rPr>
          <w:sz w:val="20"/>
        </w:rPr>
        <w:t>types</w:t>
      </w:r>
      <w:r>
        <w:rPr>
          <w:spacing w:val="-3"/>
          <w:sz w:val="20"/>
        </w:rPr>
        <w:t> </w:t>
      </w:r>
      <w:r>
        <w:rPr>
          <w:sz w:val="20"/>
        </w:rPr>
        <w:t>of articles, and used for non commercial purposes under the control and responsibility of these institutions;</w:t>
      </w:r>
    </w:p>
    <w:p>
      <w:pPr>
        <w:pStyle w:val="ListParagraph"/>
        <w:numPr>
          <w:ilvl w:val="0"/>
          <w:numId w:val="3"/>
        </w:numPr>
        <w:tabs>
          <w:tab w:pos="1984" w:val="left" w:leader="none"/>
          <w:tab w:pos="1985" w:val="left" w:leader="none"/>
        </w:tabs>
        <w:spacing w:line="266" w:lineRule="auto" w:before="119" w:after="0"/>
        <w:ind w:left="1984" w:right="1728" w:hanging="579"/>
        <w:jc w:val="left"/>
        <w:rPr>
          <w:sz w:val="20"/>
        </w:rPr>
      </w:pPr>
      <w:r>
        <w:rPr>
          <w:sz w:val="20"/>
        </w:rPr>
        <w:t>that instruments or apparatus of equivalent scientific value are not being manufactured in the country of</w:t>
      </w:r>
      <w:r>
        <w:rPr>
          <w:spacing w:val="-2"/>
          <w:sz w:val="20"/>
        </w:rPr>
        <w:t> </w:t>
      </w:r>
      <w:r>
        <w:rPr>
          <w:sz w:val="20"/>
        </w:rPr>
        <w:t>importation.</w:t>
      </w:r>
    </w:p>
    <w:p>
      <w:pPr>
        <w:pStyle w:val="BodyText"/>
        <w:spacing w:before="2"/>
        <w:rPr>
          <w:sz w:val="32"/>
        </w:rPr>
      </w:pPr>
    </w:p>
    <w:p>
      <w:pPr>
        <w:pStyle w:val="BodyText"/>
        <w:spacing w:line="264" w:lineRule="auto"/>
        <w:ind w:left="1135" w:right="1317"/>
      </w:pPr>
      <w:r>
        <w:rPr/>
        <w:t>Spare parts, components or accessories specifically matching scientific instruments or apparatus, provided these spare parts, components or accessories are imported at the same time as such instruments and apparatus, or if imported subsequently, that they are identifiable as intended for instruments or apparatus previously admitted duty-free or entitled to duty-free entry.</w:t>
      </w:r>
    </w:p>
    <w:p>
      <w:pPr>
        <w:pStyle w:val="BodyText"/>
        <w:rPr>
          <w:sz w:val="22"/>
        </w:rPr>
      </w:pPr>
    </w:p>
    <w:p>
      <w:pPr>
        <w:pStyle w:val="BodyText"/>
        <w:spacing w:line="264" w:lineRule="auto"/>
        <w:ind w:left="1135" w:right="1372"/>
      </w:pPr>
      <w:r>
        <w:rPr/>
        <w:t>Tools to be used for the maintenance, checking, gauging or repair of scientific instruments, provided these tools are imported at the same time as such instruments and apparatus or, if imported subsequently, that they are identifiable as intended for the specific instruments or apparatus previously admitted duty-free or entitled to duty-free entry, and further provided that tools of equivalent scientific value are not being manufactured in the country of importation.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spacing w:before="95"/>
        <w:ind w:left="0" w:right="1556" w:firstLine="0"/>
        <w:jc w:val="right"/>
        <w:rPr>
          <w:b/>
          <w:sz w:val="16"/>
        </w:rPr>
      </w:pPr>
      <w:r>
        <w:rPr>
          <w:sz w:val="16"/>
        </w:rPr>
        <w:t>Page </w:t>
      </w:r>
      <w:r>
        <w:rPr>
          <w:b/>
          <w:sz w:val="16"/>
        </w:rPr>
        <w:t>2 </w:t>
      </w:r>
      <w:r>
        <w:rPr>
          <w:sz w:val="16"/>
        </w:rPr>
        <w:t>of </w:t>
      </w:r>
      <w:r>
        <w:rPr>
          <w:b/>
          <w:sz w:val="16"/>
        </w:rPr>
        <w:t>3</w:t>
      </w:r>
    </w:p>
    <w:p>
      <w:pPr>
        <w:spacing w:after="0"/>
        <w:jc w:val="right"/>
        <w:rPr>
          <w:sz w:val="16"/>
        </w:rPr>
        <w:sectPr>
          <w:pgSz w:w="11910" w:h="16840"/>
          <w:pgMar w:top="600" w:bottom="280" w:left="0" w:right="0"/>
        </w:sectPr>
      </w:pPr>
    </w:p>
    <w:p>
      <w:pPr>
        <w:pStyle w:val="BodyText"/>
        <w:rPr>
          <w:b/>
        </w:rPr>
      </w:pPr>
    </w:p>
    <w:p>
      <w:pPr>
        <w:pStyle w:val="BodyText"/>
        <w:rPr>
          <w:b/>
        </w:rPr>
      </w:pPr>
    </w:p>
    <w:p>
      <w:pPr>
        <w:pStyle w:val="BodyText"/>
        <w:rPr>
          <w:b/>
        </w:rPr>
      </w:pPr>
    </w:p>
    <w:p>
      <w:pPr>
        <w:pStyle w:val="BodyText"/>
        <w:rPr>
          <w:b/>
        </w:rPr>
      </w:pPr>
    </w:p>
    <w:p>
      <w:pPr>
        <w:pStyle w:val="Heading1"/>
        <w:spacing w:line="352" w:lineRule="auto" w:before="246"/>
        <w:ind w:left="6693" w:right="1118" w:firstLine="2258"/>
      </w:pPr>
      <w:r>
        <w:rPr/>
        <w:drawing>
          <wp:anchor distT="0" distB="0" distL="0" distR="0" allowOverlap="1" layoutInCell="1" locked="0" behindDoc="0" simplePos="0" relativeHeight="15729664">
            <wp:simplePos x="0" y="0"/>
            <wp:positionH relativeFrom="page">
              <wp:posOffset>0</wp:posOffset>
            </wp:positionH>
            <wp:positionV relativeFrom="paragraph">
              <wp:posOffset>-590237</wp:posOffset>
            </wp:positionV>
            <wp:extent cx="7552055" cy="16316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552055" cy="163160"/>
                    </a:xfrm>
                    <a:prstGeom prst="rect">
                      <a:avLst/>
                    </a:prstGeom>
                  </pic:spPr>
                </pic:pic>
              </a:graphicData>
            </a:graphic>
          </wp:anchor>
        </w:drawing>
      </w:r>
      <w:r>
        <w:rPr/>
        <w:t>Attachment B Customs Tariff Working Pages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1"/>
        </w:rPr>
      </w:pPr>
    </w:p>
    <w:p>
      <w:pPr>
        <w:spacing w:before="95"/>
        <w:ind w:left="0" w:right="1556" w:firstLine="0"/>
        <w:jc w:val="right"/>
        <w:rPr>
          <w:b/>
          <w:sz w:val="16"/>
        </w:rPr>
      </w:pPr>
      <w:r>
        <w:rPr>
          <w:sz w:val="16"/>
        </w:rPr>
        <w:t>Page </w:t>
      </w:r>
      <w:r>
        <w:rPr>
          <w:b/>
          <w:sz w:val="16"/>
        </w:rPr>
        <w:t>3 </w:t>
      </w:r>
      <w:r>
        <w:rPr>
          <w:sz w:val="16"/>
        </w:rPr>
        <w:t>of </w:t>
      </w:r>
      <w:r>
        <w:rPr>
          <w:b/>
          <w:sz w:val="16"/>
        </w:rPr>
        <w:t>3</w:t>
      </w:r>
    </w:p>
    <w:p>
      <w:pPr>
        <w:spacing w:after="0"/>
        <w:jc w:val="right"/>
        <w:rPr>
          <w:sz w:val="16"/>
        </w:rPr>
        <w:sectPr>
          <w:pgSz w:w="11910" w:h="16840"/>
          <w:pgMar w:top="600" w:bottom="280" w:left="0" w:right="0"/>
        </w:sectPr>
      </w:pPr>
    </w:p>
    <w:p>
      <w:pPr>
        <w:pStyle w:val="BodyText"/>
        <w:spacing w:before="4"/>
        <w:rPr>
          <w:b/>
          <w:sz w:val="17"/>
        </w:rPr>
      </w:pPr>
    </w:p>
    <w:p>
      <w:pPr>
        <w:spacing w:after="0"/>
        <w:rPr>
          <w:sz w:val="17"/>
        </w:rPr>
        <w:sectPr>
          <w:pgSz w:w="11910" w:h="16840"/>
          <w:pgMar w:top="1580" w:bottom="280" w:left="0" w:right="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
        <w:rPr>
          <w:b/>
          <w:sz w:val="17"/>
        </w:rPr>
      </w:pPr>
    </w:p>
    <w:p>
      <w:pPr>
        <w:spacing w:before="0"/>
        <w:ind w:left="0" w:right="0" w:firstLine="0"/>
        <w:jc w:val="right"/>
        <w:rPr>
          <w:rFonts w:ascii="Arial Narrow"/>
          <w:b/>
          <w:sz w:val="20"/>
        </w:rPr>
      </w:pPr>
      <w:r>
        <w:rPr>
          <w:rFonts w:ascii="Arial Narrow"/>
          <w:b/>
          <w:sz w:val="20"/>
        </w:rPr>
        <w:t>R.2</w:t>
      </w:r>
    </w:p>
    <w:p>
      <w:pPr>
        <w:spacing w:line="436" w:lineRule="auto" w:before="63"/>
        <w:ind w:left="1472" w:right="0" w:firstLine="0"/>
        <w:jc w:val="center"/>
        <w:rPr>
          <w:b/>
          <w:sz w:val="24"/>
        </w:rPr>
      </w:pPr>
      <w:r>
        <w:rPr/>
        <w:br w:type="column"/>
      </w:r>
      <w:r>
        <w:rPr>
          <w:b/>
          <w:sz w:val="24"/>
        </w:rPr>
        <w:t>SCHEDULE OF CONCESSIONAL INSTRUMENTS PART II</w:t>
      </w:r>
    </w:p>
    <w:p>
      <w:pPr>
        <w:spacing w:line="215" w:lineRule="exact" w:before="0"/>
        <w:ind w:left="1474" w:right="0" w:firstLine="0"/>
        <w:jc w:val="center"/>
        <w:rPr>
          <w:b/>
          <w:sz w:val="24"/>
        </w:rPr>
      </w:pPr>
      <w:r>
        <w:rPr>
          <w:b/>
          <w:sz w:val="24"/>
        </w:rPr>
        <w:t>INSTRUMENTS ISSUED TO ITEMS IN SCHEDULE 4</w:t>
      </w:r>
    </w:p>
    <w:p>
      <w:pPr>
        <w:pStyle w:val="Heading2"/>
        <w:spacing w:before="163"/>
        <w:ind w:left="1474"/>
      </w:pPr>
      <w:r>
        <w:rPr/>
        <w:t>CUSTOMS TARIFF ACT 1995</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Heading3"/>
        <w:spacing w:before="178"/>
        <w:ind w:left="1124"/>
      </w:pPr>
      <w:r>
        <w:rPr/>
        <w:t>Part 2/1</w:t>
      </w:r>
    </w:p>
    <w:p>
      <w:pPr>
        <w:spacing w:after="0"/>
        <w:sectPr>
          <w:pgSz w:w="11910" w:h="16840"/>
          <w:pgMar w:top="500" w:bottom="280" w:left="0" w:right="0"/>
          <w:cols w:num="3" w:equalWidth="0">
            <w:col w:w="1923" w:space="40"/>
            <w:col w:w="7263" w:space="39"/>
            <w:col w:w="2645"/>
          </w:cols>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0"/>
      </w:tblGrid>
      <w:tr>
        <w:trPr>
          <w:trHeight w:val="690" w:hRule="atLeast"/>
        </w:trPr>
        <w:tc>
          <w:tcPr>
            <w:tcW w:w="8366" w:type="dxa"/>
            <w:tcBorders>
              <w:left w:val="nil"/>
            </w:tcBorders>
          </w:tcPr>
          <w:p>
            <w:pPr>
              <w:pStyle w:val="TableParagraph"/>
              <w:tabs>
                <w:tab w:pos="911" w:val="left" w:leader="none"/>
                <w:tab w:pos="4187" w:val="left" w:leader="none"/>
              </w:tabs>
              <w:spacing w:before="35"/>
              <w:ind w:left="1043" w:right="2500" w:hanging="824"/>
              <w:rPr>
                <w:rFonts w:ascii="Arial Narrow"/>
                <w:b/>
                <w:sz w:val="20"/>
              </w:rPr>
            </w:pPr>
            <w:r>
              <w:rPr>
                <w:rFonts w:ascii="Arial Narrow"/>
                <w:b/>
                <w:sz w:val="20"/>
              </w:rPr>
              <w:t>Item</w:t>
              <w:tab/>
              <w:t>By-law</w:t>
              <w:tab/>
              <w:t>Description of </w:t>
            </w:r>
            <w:r>
              <w:rPr>
                <w:rFonts w:ascii="Arial Narrow"/>
                <w:b/>
                <w:spacing w:val="-3"/>
                <w:sz w:val="20"/>
              </w:rPr>
              <w:t>Goods </w:t>
            </w:r>
            <w:r>
              <w:rPr>
                <w:rFonts w:ascii="Arial Narrow"/>
                <w:b/>
                <w:sz w:val="20"/>
              </w:rPr>
              <w:t>No.</w:t>
            </w:r>
          </w:p>
        </w:tc>
        <w:tc>
          <w:tcPr>
            <w:tcW w:w="1380" w:type="dxa"/>
            <w:tcBorders>
              <w:right w:val="nil"/>
            </w:tcBorders>
          </w:tcPr>
          <w:p>
            <w:pPr>
              <w:pStyle w:val="TableParagraph"/>
              <w:spacing w:line="302" w:lineRule="auto" w:before="35"/>
              <w:ind w:left="319" w:right="290" w:hanging="56"/>
              <w:rPr>
                <w:rFonts w:ascii="Arial Narrow"/>
                <w:b/>
                <w:sz w:val="20"/>
              </w:rPr>
            </w:pPr>
            <w:r>
              <w:rPr>
                <w:rFonts w:ascii="Arial Narrow"/>
                <w:b/>
                <w:sz w:val="20"/>
              </w:rPr>
              <w:t>Start date/ End date</w:t>
            </w:r>
          </w:p>
        </w:tc>
      </w:tr>
      <w:tr>
        <w:trPr>
          <w:trHeight w:val="12287" w:hRule="atLeast"/>
        </w:trPr>
        <w:tc>
          <w:tcPr>
            <w:tcW w:w="8366" w:type="dxa"/>
            <w:tcBorders>
              <w:left w:val="nil"/>
            </w:tcBorders>
          </w:tcPr>
          <w:p>
            <w:pPr>
              <w:pStyle w:val="TableParagraph"/>
              <w:spacing w:before="218"/>
              <w:ind w:left="1735"/>
              <w:rPr>
                <w:b/>
                <w:sz w:val="24"/>
              </w:rPr>
            </w:pPr>
            <w:r>
              <w:rPr>
                <w:b/>
                <w:sz w:val="24"/>
                <w:u w:val="thick"/>
              </w:rPr>
              <w:t>Goods of a scientific, educational or cultural kind</w:t>
            </w:r>
          </w:p>
          <w:p>
            <w:pPr>
              <w:pStyle w:val="TableParagraph"/>
              <w:spacing w:before="232"/>
              <w:ind w:left="1735"/>
              <w:rPr>
                <w:b/>
                <w:sz w:val="20"/>
              </w:rPr>
            </w:pPr>
            <w:r>
              <w:rPr>
                <w:b/>
                <w:sz w:val="20"/>
                <w:u w:val="single"/>
              </w:rPr>
              <w:t>Item 1 – Scientific goods, instruments and apparatus</w:t>
            </w:r>
          </w:p>
          <w:p>
            <w:pPr>
              <w:pStyle w:val="TableParagraph"/>
              <w:spacing w:before="3"/>
              <w:rPr>
                <w:rFonts w:ascii="Arial"/>
                <w:b/>
                <w:sz w:val="25"/>
              </w:rPr>
            </w:pPr>
          </w:p>
          <w:p>
            <w:pPr>
              <w:pStyle w:val="TableParagraph"/>
              <w:numPr>
                <w:ilvl w:val="0"/>
                <w:numId w:val="4"/>
              </w:numPr>
              <w:tabs>
                <w:tab w:pos="289" w:val="left" w:leader="none"/>
                <w:tab w:pos="837" w:val="left" w:leader="none"/>
              </w:tabs>
              <w:spacing w:line="240" w:lineRule="auto" w:before="1" w:after="0"/>
              <w:ind w:left="288" w:right="0" w:hanging="285"/>
              <w:jc w:val="left"/>
              <w:rPr>
                <w:sz w:val="20"/>
              </w:rPr>
            </w:pPr>
            <w:r>
              <w:rPr>
                <w:b/>
                <w:sz w:val="20"/>
              </w:rPr>
              <w:t>1</w:t>
              <w:tab/>
              <w:t>1800146 </w:t>
            </w:r>
            <w:r>
              <w:rPr>
                <w:sz w:val="20"/>
                <w:u w:val="single"/>
              </w:rPr>
              <w:t>Organisations eligible to import scientific instruments and</w:t>
            </w:r>
            <w:r>
              <w:rPr>
                <w:spacing w:val="-15"/>
                <w:sz w:val="20"/>
                <w:u w:val="single"/>
              </w:rPr>
              <w:t> </w:t>
            </w:r>
            <w:r>
              <w:rPr>
                <w:sz w:val="20"/>
                <w:u w:val="single"/>
              </w:rPr>
              <w:t>apparatus</w:t>
            </w:r>
          </w:p>
          <w:p>
            <w:pPr>
              <w:pStyle w:val="TableParagraph"/>
              <w:spacing w:before="7"/>
              <w:rPr>
                <w:rFonts w:ascii="Arial"/>
                <w:b/>
                <w:sz w:val="19"/>
              </w:rPr>
            </w:pPr>
          </w:p>
          <w:p>
            <w:pPr>
              <w:pStyle w:val="TableParagraph"/>
              <w:numPr>
                <w:ilvl w:val="1"/>
                <w:numId w:val="4"/>
              </w:numPr>
              <w:tabs>
                <w:tab w:pos="2301" w:val="left" w:leader="none"/>
                <w:tab w:pos="2302" w:val="left" w:leader="none"/>
              </w:tabs>
              <w:spacing w:line="240" w:lineRule="auto" w:before="0" w:after="0"/>
              <w:ind w:left="2301" w:right="0" w:hanging="567"/>
              <w:jc w:val="left"/>
              <w:rPr>
                <w:sz w:val="20"/>
              </w:rPr>
            </w:pPr>
            <w:r>
              <w:rPr>
                <w:sz w:val="20"/>
              </w:rPr>
              <w:t>This by-law may be cited as Customs By-law No.</w:t>
            </w:r>
            <w:r>
              <w:rPr>
                <w:spacing w:val="-9"/>
                <w:sz w:val="20"/>
              </w:rPr>
              <w:t> </w:t>
            </w:r>
            <w:r>
              <w:rPr>
                <w:sz w:val="20"/>
              </w:rPr>
              <w:t>1800146.</w:t>
            </w:r>
          </w:p>
          <w:p>
            <w:pPr>
              <w:pStyle w:val="TableParagraph"/>
              <w:spacing w:before="10"/>
              <w:rPr>
                <w:rFonts w:ascii="Arial"/>
                <w:b/>
                <w:sz w:val="19"/>
              </w:rPr>
            </w:pPr>
          </w:p>
          <w:p>
            <w:pPr>
              <w:pStyle w:val="TableParagraph"/>
              <w:numPr>
                <w:ilvl w:val="1"/>
                <w:numId w:val="4"/>
              </w:numPr>
              <w:tabs>
                <w:tab w:pos="2301" w:val="left" w:leader="none"/>
                <w:tab w:pos="2302" w:val="left" w:leader="none"/>
              </w:tabs>
              <w:spacing w:line="240" w:lineRule="auto" w:before="0" w:after="0"/>
              <w:ind w:left="2301" w:right="0" w:hanging="567"/>
              <w:jc w:val="left"/>
              <w:rPr>
                <w:sz w:val="20"/>
              </w:rPr>
            </w:pPr>
            <w:r>
              <w:rPr>
                <w:sz w:val="20"/>
              </w:rPr>
              <w:t>This by-law shall take effect on and from 20 July</w:t>
            </w:r>
            <w:r>
              <w:rPr>
                <w:spacing w:val="-9"/>
                <w:sz w:val="20"/>
              </w:rPr>
              <w:t> </w:t>
            </w:r>
            <w:r>
              <w:rPr>
                <w:sz w:val="20"/>
              </w:rPr>
              <w:t>2018.</w:t>
            </w:r>
          </w:p>
          <w:p>
            <w:pPr>
              <w:pStyle w:val="TableParagraph"/>
              <w:spacing w:before="1"/>
              <w:rPr>
                <w:rFonts w:ascii="Arial"/>
                <w:b/>
                <w:sz w:val="20"/>
              </w:rPr>
            </w:pPr>
          </w:p>
          <w:p>
            <w:pPr>
              <w:pStyle w:val="TableParagraph"/>
              <w:numPr>
                <w:ilvl w:val="1"/>
                <w:numId w:val="4"/>
              </w:numPr>
              <w:tabs>
                <w:tab w:pos="2301" w:val="left" w:leader="none"/>
                <w:tab w:pos="2302" w:val="left" w:leader="none"/>
              </w:tabs>
              <w:spacing w:line="240" w:lineRule="auto" w:before="0" w:after="0"/>
              <w:ind w:left="2301" w:right="225" w:hanging="567"/>
              <w:jc w:val="left"/>
              <w:rPr>
                <w:sz w:val="20"/>
              </w:rPr>
            </w:pPr>
            <w:r>
              <w:rPr>
                <w:sz w:val="20"/>
              </w:rPr>
              <w:t>For the purposes of paragraph (a) of item 1 of Schedule 4 to the </w:t>
            </w:r>
            <w:r>
              <w:rPr>
                <w:i/>
                <w:sz w:val="20"/>
              </w:rPr>
              <w:t>Customs Tariff Act 1995 </w:t>
            </w:r>
            <w:r>
              <w:rPr>
                <w:sz w:val="20"/>
              </w:rPr>
              <w:t>(the Customs Tariff Act), scientific instruments or apparatus consigned to organisations listed in Table A are</w:t>
            </w:r>
            <w:r>
              <w:rPr>
                <w:spacing w:val="-20"/>
                <w:sz w:val="20"/>
              </w:rPr>
              <w:t> </w:t>
            </w:r>
            <w:r>
              <w:rPr>
                <w:sz w:val="20"/>
              </w:rPr>
              <w:t>prescribed:</w:t>
            </w:r>
          </w:p>
          <w:p>
            <w:pPr>
              <w:pStyle w:val="TableParagraph"/>
              <w:rPr>
                <w:rFonts w:ascii="Arial"/>
                <w:b/>
                <w:sz w:val="20"/>
              </w:rPr>
            </w:pPr>
          </w:p>
          <w:p>
            <w:pPr>
              <w:pStyle w:val="TableParagraph"/>
              <w:ind w:left="2301"/>
              <w:rPr>
                <w:sz w:val="20"/>
              </w:rPr>
            </w:pPr>
            <w:r>
              <w:rPr>
                <w:sz w:val="20"/>
              </w:rPr>
              <w:t>Table A</w:t>
            </w:r>
          </w:p>
          <w:p>
            <w:pPr>
              <w:pStyle w:val="TableParagraph"/>
              <w:spacing w:before="1"/>
              <w:rPr>
                <w:rFonts w:ascii="Arial"/>
                <w:b/>
                <w:sz w:val="20"/>
              </w:rPr>
            </w:pPr>
          </w:p>
          <w:p>
            <w:pPr>
              <w:pStyle w:val="TableParagraph"/>
              <w:ind w:left="2301"/>
              <w:rPr>
                <w:sz w:val="20"/>
              </w:rPr>
            </w:pPr>
            <w:r>
              <w:rPr>
                <w:sz w:val="20"/>
              </w:rPr>
              <w:t>The Australian Antarctic Division of the Department of Environment and Energy</w:t>
            </w:r>
          </w:p>
          <w:p>
            <w:pPr>
              <w:pStyle w:val="TableParagraph"/>
              <w:spacing w:before="1"/>
              <w:ind w:left="2301" w:right="585"/>
              <w:rPr>
                <w:sz w:val="20"/>
              </w:rPr>
            </w:pPr>
            <w:r>
              <w:rPr>
                <w:sz w:val="20"/>
              </w:rPr>
              <w:t>Association of Universities for Research in Astronomy Inc (AURA) Austin Medical Research Foundation</w:t>
            </w:r>
          </w:p>
          <w:p>
            <w:pPr>
              <w:pStyle w:val="TableParagraph"/>
              <w:spacing w:line="229" w:lineRule="exact"/>
              <w:ind w:left="2301"/>
              <w:rPr>
                <w:sz w:val="20"/>
              </w:rPr>
            </w:pPr>
            <w:r>
              <w:rPr>
                <w:sz w:val="20"/>
              </w:rPr>
              <w:t>Australian Institute of Marine Science</w:t>
            </w:r>
          </w:p>
          <w:p>
            <w:pPr>
              <w:pStyle w:val="TableParagraph"/>
              <w:ind w:left="2301"/>
              <w:rPr>
                <w:sz w:val="20"/>
              </w:rPr>
            </w:pPr>
            <w:r>
              <w:rPr>
                <w:sz w:val="20"/>
              </w:rPr>
              <w:t>The Australian Nuclear Science Technology Organisation</w:t>
            </w:r>
          </w:p>
          <w:p>
            <w:pPr>
              <w:pStyle w:val="TableParagraph"/>
              <w:spacing w:before="1"/>
              <w:ind w:left="2301" w:right="891"/>
              <w:rPr>
                <w:sz w:val="20"/>
              </w:rPr>
            </w:pPr>
            <w:r>
              <w:rPr>
                <w:sz w:val="20"/>
              </w:rPr>
              <w:t>The Australian Radiation Protection and Nuclear Safety Agency Baker Heart and Diabetes Institute</w:t>
            </w:r>
          </w:p>
          <w:p>
            <w:pPr>
              <w:pStyle w:val="TableParagraph"/>
              <w:spacing w:before="1"/>
              <w:ind w:left="2301" w:right="1447"/>
              <w:rPr>
                <w:sz w:val="20"/>
              </w:rPr>
            </w:pPr>
            <w:r>
              <w:rPr>
                <w:sz w:val="20"/>
              </w:rPr>
              <w:t>The Centre for Australian Weather and Climate Research The Centenary Institute</w:t>
            </w:r>
          </w:p>
          <w:p>
            <w:pPr>
              <w:pStyle w:val="TableParagraph"/>
              <w:spacing w:line="229" w:lineRule="exact"/>
              <w:ind w:left="2301"/>
              <w:rPr>
                <w:sz w:val="20"/>
              </w:rPr>
            </w:pPr>
            <w:r>
              <w:rPr>
                <w:sz w:val="20"/>
              </w:rPr>
              <w:t>Children’s Medical Research Institute</w:t>
            </w:r>
          </w:p>
          <w:p>
            <w:pPr>
              <w:pStyle w:val="TableParagraph"/>
              <w:ind w:left="2301" w:right="563"/>
              <w:rPr>
                <w:sz w:val="20"/>
              </w:rPr>
            </w:pPr>
            <w:r>
              <w:rPr>
                <w:sz w:val="20"/>
              </w:rPr>
              <w:t>The Commonwealth Scientific and Industrial Research Organisation The Defence Science and Technology Organisation</w:t>
            </w:r>
          </w:p>
          <w:p>
            <w:pPr>
              <w:pStyle w:val="TableParagraph"/>
              <w:spacing w:before="1"/>
              <w:ind w:left="2301" w:right="2680"/>
              <w:rPr>
                <w:sz w:val="20"/>
              </w:rPr>
            </w:pPr>
            <w:r>
              <w:rPr>
                <w:sz w:val="20"/>
              </w:rPr>
              <w:t>The Garvan Institute of Medical Research Geoscience Australia</w:t>
            </w:r>
          </w:p>
          <w:p>
            <w:pPr>
              <w:pStyle w:val="TableParagraph"/>
              <w:spacing w:line="229" w:lineRule="exact"/>
              <w:ind w:left="2301"/>
              <w:rPr>
                <w:sz w:val="20"/>
              </w:rPr>
            </w:pPr>
            <w:r>
              <w:rPr>
                <w:sz w:val="20"/>
              </w:rPr>
              <w:t>The Heart Research Institute</w:t>
            </w:r>
          </w:p>
          <w:p>
            <w:pPr>
              <w:pStyle w:val="TableParagraph"/>
              <w:spacing w:before="1"/>
              <w:ind w:left="2301" w:right="1558"/>
              <w:rPr>
                <w:sz w:val="20"/>
              </w:rPr>
            </w:pPr>
            <w:r>
              <w:rPr>
                <w:sz w:val="20"/>
              </w:rPr>
              <w:t>The Florey Institute of Neuroscience and Mental Health Ludwig Institute for Cancer Research</w:t>
            </w:r>
          </w:p>
          <w:p>
            <w:pPr>
              <w:pStyle w:val="TableParagraph"/>
              <w:spacing w:before="1"/>
              <w:ind w:left="2301"/>
              <w:rPr>
                <w:sz w:val="20"/>
              </w:rPr>
            </w:pPr>
            <w:r>
              <w:rPr>
                <w:sz w:val="20"/>
              </w:rPr>
              <w:t>Burnet Institute</w:t>
            </w:r>
          </w:p>
          <w:p>
            <w:pPr>
              <w:pStyle w:val="TableParagraph"/>
              <w:ind w:left="2301" w:right="2813"/>
              <w:rPr>
                <w:sz w:val="20"/>
              </w:rPr>
            </w:pPr>
            <w:r>
              <w:rPr>
                <w:sz w:val="20"/>
              </w:rPr>
              <w:t>The Menzies School of Health Research The National Measurement Institute</w:t>
            </w:r>
          </w:p>
          <w:p>
            <w:pPr>
              <w:pStyle w:val="TableParagraph"/>
              <w:ind w:left="2301" w:right="2479"/>
              <w:rPr>
                <w:sz w:val="20"/>
              </w:rPr>
            </w:pPr>
            <w:r>
              <w:rPr>
                <w:sz w:val="20"/>
              </w:rPr>
              <w:t>The Hudson Institute of Medical Research Queensland Institute of Medical Research Sir Albert Sakzewski Virus Research Centre</w:t>
            </w:r>
          </w:p>
          <w:p>
            <w:pPr>
              <w:pStyle w:val="TableParagraph"/>
              <w:ind w:left="2301" w:right="1447"/>
              <w:rPr>
                <w:sz w:val="20"/>
              </w:rPr>
            </w:pPr>
            <w:r>
              <w:rPr>
                <w:sz w:val="20"/>
              </w:rPr>
              <w:t>St Vincent's Institute of Medical Research, Melbourne South Australian Health and Medical Research Institute The Victor Chang Cardiac Research Institute</w:t>
            </w:r>
          </w:p>
          <w:p>
            <w:pPr>
              <w:pStyle w:val="TableParagraph"/>
              <w:spacing w:line="229" w:lineRule="exact"/>
              <w:ind w:left="2301"/>
              <w:rPr>
                <w:sz w:val="20"/>
              </w:rPr>
            </w:pPr>
            <w:r>
              <w:rPr>
                <w:sz w:val="20"/>
              </w:rPr>
              <w:t>Walter and Eliza Hall Institute of Medical Research.</w:t>
            </w:r>
          </w:p>
          <w:p>
            <w:pPr>
              <w:pStyle w:val="TableParagraph"/>
              <w:spacing w:before="10"/>
              <w:rPr>
                <w:rFonts w:ascii="Arial"/>
                <w:b/>
                <w:sz w:val="19"/>
              </w:rPr>
            </w:pPr>
          </w:p>
          <w:p>
            <w:pPr>
              <w:pStyle w:val="TableParagraph"/>
              <w:ind w:right="51"/>
              <w:jc w:val="right"/>
              <w:rPr>
                <w:sz w:val="20"/>
              </w:rPr>
            </w:pPr>
            <w:r>
              <w:rPr>
                <w:sz w:val="20"/>
              </w:rPr>
              <w:t>(Continued)</w:t>
            </w:r>
          </w:p>
        </w:tc>
        <w:tc>
          <w:tcPr>
            <w:tcW w:w="1380" w:type="dxa"/>
            <w:tcBorders>
              <w:right w:val="nil"/>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20"/>
              </w:rPr>
            </w:pPr>
          </w:p>
          <w:p>
            <w:pPr>
              <w:pStyle w:val="TableParagraph"/>
              <w:ind w:left="336"/>
              <w:rPr>
                <w:b/>
                <w:sz w:val="20"/>
              </w:rPr>
            </w:pPr>
            <w:r>
              <w:rPr>
                <w:b/>
                <w:sz w:val="20"/>
              </w:rPr>
              <w:t>1/7/2018</w:t>
            </w:r>
          </w:p>
        </w:tc>
      </w:tr>
    </w:tbl>
    <w:p>
      <w:pPr>
        <w:pStyle w:val="ListParagraph"/>
        <w:numPr>
          <w:ilvl w:val="1"/>
          <w:numId w:val="3"/>
        </w:numPr>
        <w:tabs>
          <w:tab w:pos="228" w:val="left" w:leader="none"/>
        </w:tabs>
        <w:spacing w:line="204" w:lineRule="exact" w:before="0" w:after="0"/>
        <w:ind w:left="9732" w:right="823" w:hanging="9732"/>
        <w:jc w:val="right"/>
        <w:rPr>
          <w:rFonts w:ascii="Arial Narrow" w:hAnsi="Arial Narrow"/>
          <w:b/>
          <w:sz w:val="20"/>
        </w:rPr>
      </w:pPr>
      <w:r>
        <w:rPr>
          <w:rFonts w:ascii="Arial Narrow" w:hAnsi="Arial Narrow"/>
          <w:b/>
          <w:sz w:val="20"/>
        </w:rPr>
        <w:t>Operative</w:t>
      </w:r>
      <w:r>
        <w:rPr>
          <w:rFonts w:ascii="Arial Narrow" w:hAnsi="Arial Narrow"/>
          <w:b/>
          <w:spacing w:val="-7"/>
          <w:sz w:val="20"/>
        </w:rPr>
        <w:t> </w:t>
      </w:r>
      <w:r>
        <w:rPr>
          <w:rFonts w:ascii="Arial Narrow" w:hAnsi="Arial Narrow"/>
          <w:b/>
          <w:sz w:val="20"/>
        </w:rPr>
        <w:t>20/7/18</w:t>
      </w:r>
    </w:p>
    <w:p>
      <w:pPr>
        <w:spacing w:after="0" w:line="204" w:lineRule="exact"/>
        <w:jc w:val="right"/>
        <w:rPr>
          <w:rFonts w:ascii="Arial Narrow" w:hAnsi="Arial Narrow"/>
          <w:sz w:val="20"/>
        </w:rPr>
        <w:sectPr>
          <w:type w:val="continuous"/>
          <w:pgSz w:w="11910" w:h="16840"/>
          <w:pgMar w:top="0" w:bottom="280" w:left="0" w:right="0"/>
        </w:sect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spacing w:before="187"/>
        <w:ind w:left="816" w:right="0" w:firstLine="0"/>
        <w:jc w:val="left"/>
        <w:rPr>
          <w:b/>
          <w:sz w:val="20"/>
        </w:rPr>
      </w:pPr>
      <w:r>
        <w:rPr>
          <w:b/>
          <w:sz w:val="20"/>
        </w:rPr>
        <w:t>Part 2/2</w:t>
      </w:r>
    </w:p>
    <w:p>
      <w:pPr>
        <w:pStyle w:val="Heading2"/>
        <w:spacing w:line="436" w:lineRule="auto" w:before="63"/>
        <w:ind w:left="793" w:right="3394"/>
      </w:pPr>
      <w:r>
        <w:rPr>
          <w:b w:val="0"/>
        </w:rPr>
        <w:br w:type="column"/>
      </w:r>
      <w:r>
        <w:rPr/>
        <w:t>SCHEDULE OF CONCESSIONAL INSTRUMENTS PART II</w:t>
      </w:r>
    </w:p>
    <w:p>
      <w:pPr>
        <w:spacing w:line="215" w:lineRule="exact" w:before="0"/>
        <w:ind w:left="799" w:right="3394" w:firstLine="0"/>
        <w:jc w:val="center"/>
        <w:rPr>
          <w:b/>
          <w:sz w:val="24"/>
        </w:rPr>
      </w:pPr>
      <w:r>
        <w:rPr>
          <w:b/>
          <w:sz w:val="24"/>
        </w:rPr>
        <w:t>INSTRUMENTS ISSUED TO ITEMS IN SCHEDULE 4</w:t>
      </w:r>
    </w:p>
    <w:p>
      <w:pPr>
        <w:pStyle w:val="Heading2"/>
        <w:spacing w:before="163"/>
        <w:ind w:right="3394"/>
      </w:pPr>
      <w:r>
        <w:rPr/>
        <w:t>CUSTOMS TARIFF ACT 1995</w:t>
      </w:r>
    </w:p>
    <w:p>
      <w:pPr>
        <w:spacing w:after="0"/>
        <w:sectPr>
          <w:pgSz w:w="11910" w:h="16840"/>
          <w:pgMar w:top="500" w:bottom="280" w:left="0" w:right="0"/>
          <w:cols w:num="2" w:equalWidth="0">
            <w:col w:w="1577" w:space="312"/>
            <w:col w:w="10021"/>
          </w:cols>
        </w:sect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0"/>
      </w:tblGrid>
      <w:tr>
        <w:trPr>
          <w:trHeight w:val="690" w:hRule="atLeast"/>
        </w:trPr>
        <w:tc>
          <w:tcPr>
            <w:tcW w:w="8366" w:type="dxa"/>
            <w:tcBorders>
              <w:left w:val="nil"/>
            </w:tcBorders>
          </w:tcPr>
          <w:p>
            <w:pPr>
              <w:pStyle w:val="TableParagraph"/>
              <w:tabs>
                <w:tab w:pos="914" w:val="left" w:leader="none"/>
                <w:tab w:pos="4187" w:val="left" w:leader="none"/>
              </w:tabs>
              <w:spacing w:before="54"/>
              <w:ind w:left="1046" w:right="2500" w:hanging="826"/>
              <w:rPr>
                <w:rFonts w:ascii="Arial Narrow"/>
                <w:b/>
                <w:sz w:val="20"/>
              </w:rPr>
            </w:pPr>
            <w:r>
              <w:rPr>
                <w:rFonts w:ascii="Arial Narrow"/>
                <w:b/>
                <w:sz w:val="20"/>
              </w:rPr>
              <w:t>Item</w:t>
              <w:tab/>
              <w:t>By-law</w:t>
              <w:tab/>
              <w:t>Description of </w:t>
            </w:r>
            <w:r>
              <w:rPr>
                <w:rFonts w:ascii="Arial Narrow"/>
                <w:b/>
                <w:spacing w:val="-3"/>
                <w:sz w:val="20"/>
              </w:rPr>
              <w:t>Goods </w:t>
            </w:r>
            <w:r>
              <w:rPr>
                <w:rFonts w:ascii="Arial Narrow"/>
                <w:b/>
                <w:sz w:val="20"/>
              </w:rPr>
              <w:t>No.</w:t>
            </w:r>
          </w:p>
        </w:tc>
        <w:tc>
          <w:tcPr>
            <w:tcW w:w="1380" w:type="dxa"/>
            <w:tcBorders>
              <w:right w:val="nil"/>
            </w:tcBorders>
          </w:tcPr>
          <w:p>
            <w:pPr>
              <w:pStyle w:val="TableParagraph"/>
              <w:spacing w:line="302" w:lineRule="auto" w:before="54"/>
              <w:ind w:left="319" w:right="290" w:hanging="56"/>
              <w:rPr>
                <w:rFonts w:ascii="Arial Narrow"/>
                <w:b/>
                <w:sz w:val="20"/>
              </w:rPr>
            </w:pPr>
            <w:r>
              <w:rPr>
                <w:rFonts w:ascii="Arial Narrow"/>
                <w:b/>
                <w:sz w:val="20"/>
              </w:rPr>
              <w:t>Start date/ End date</w:t>
            </w:r>
          </w:p>
        </w:tc>
      </w:tr>
      <w:tr>
        <w:trPr>
          <w:trHeight w:val="12309" w:hRule="atLeast"/>
        </w:trPr>
        <w:tc>
          <w:tcPr>
            <w:tcW w:w="8366" w:type="dxa"/>
            <w:tcBorders>
              <w:left w:val="nil"/>
            </w:tcBorders>
          </w:tcPr>
          <w:p>
            <w:pPr>
              <w:pStyle w:val="TableParagraph"/>
              <w:spacing w:before="8"/>
              <w:rPr>
                <w:rFonts w:ascii="Arial"/>
                <w:b/>
                <w:sz w:val="19"/>
              </w:rPr>
            </w:pPr>
          </w:p>
          <w:p>
            <w:pPr>
              <w:pStyle w:val="TableParagraph"/>
              <w:numPr>
                <w:ilvl w:val="0"/>
                <w:numId w:val="5"/>
              </w:numPr>
              <w:tabs>
                <w:tab w:pos="289" w:val="left" w:leader="none"/>
                <w:tab w:pos="837" w:val="left" w:leader="none"/>
                <w:tab w:pos="2299" w:val="left" w:leader="none"/>
              </w:tabs>
              <w:spacing w:line="227" w:lineRule="exact" w:before="0" w:after="0"/>
              <w:ind w:left="288" w:right="0" w:hanging="285"/>
              <w:jc w:val="left"/>
              <w:rPr>
                <w:i/>
                <w:sz w:val="20"/>
              </w:rPr>
            </w:pPr>
            <w:r>
              <w:rPr>
                <w:b/>
                <w:sz w:val="20"/>
              </w:rPr>
              <w:t>1</w:t>
              <w:tab/>
              <w:t>1800146  </w:t>
            </w:r>
            <w:r>
              <w:rPr>
                <w:b/>
                <w:spacing w:val="43"/>
                <w:sz w:val="20"/>
              </w:rPr>
              <w:t> </w:t>
            </w:r>
            <w:r>
              <w:rPr>
                <w:sz w:val="20"/>
              </w:rPr>
              <w:t>4.</w:t>
              <w:tab/>
              <w:t>For the purposes of paragraph (a) of item 1 of Schedule 4 to the</w:t>
            </w:r>
            <w:r>
              <w:rPr>
                <w:spacing w:val="-25"/>
                <w:sz w:val="20"/>
              </w:rPr>
              <w:t> </w:t>
            </w:r>
            <w:r>
              <w:rPr>
                <w:i/>
                <w:sz w:val="20"/>
              </w:rPr>
              <w:t>Customs</w:t>
            </w:r>
          </w:p>
          <w:p>
            <w:pPr>
              <w:pStyle w:val="TableParagraph"/>
              <w:tabs>
                <w:tab w:pos="2299" w:val="left" w:leader="none"/>
              </w:tabs>
              <w:ind w:left="2299" w:right="626" w:hanging="1462"/>
              <w:rPr>
                <w:sz w:val="20"/>
              </w:rPr>
            </w:pPr>
            <w:r>
              <w:rPr>
                <w:sz w:val="20"/>
              </w:rPr>
              <w:t>(Cont)</w:t>
              <w:tab/>
            </w:r>
            <w:r>
              <w:rPr>
                <w:i/>
                <w:sz w:val="20"/>
              </w:rPr>
              <w:t>Tariff Act 1995</w:t>
            </w:r>
            <w:r>
              <w:rPr>
                <w:sz w:val="20"/>
              </w:rPr>
              <w:t>, scientific instruments or apparatus consigned to the following are</w:t>
            </w:r>
            <w:r>
              <w:rPr>
                <w:spacing w:val="-2"/>
                <w:sz w:val="20"/>
              </w:rPr>
              <w:t> </w:t>
            </w:r>
            <w:r>
              <w:rPr>
                <w:sz w:val="20"/>
              </w:rPr>
              <w:t>prescribed:</w:t>
            </w:r>
          </w:p>
          <w:p>
            <w:pPr>
              <w:pStyle w:val="TableParagraph"/>
              <w:spacing w:before="10"/>
              <w:rPr>
                <w:rFonts w:ascii="Arial"/>
                <w:b/>
                <w:sz w:val="19"/>
              </w:rPr>
            </w:pPr>
          </w:p>
          <w:p>
            <w:pPr>
              <w:pStyle w:val="TableParagraph"/>
              <w:numPr>
                <w:ilvl w:val="1"/>
                <w:numId w:val="5"/>
              </w:numPr>
              <w:tabs>
                <w:tab w:pos="2865" w:val="left" w:leader="none"/>
                <w:tab w:pos="2866" w:val="left" w:leader="none"/>
              </w:tabs>
              <w:spacing w:line="240" w:lineRule="auto" w:before="0" w:after="0"/>
              <w:ind w:left="2865" w:right="628" w:hanging="567"/>
              <w:jc w:val="left"/>
              <w:rPr>
                <w:sz w:val="20"/>
              </w:rPr>
            </w:pPr>
            <w:r>
              <w:rPr>
                <w:sz w:val="20"/>
              </w:rPr>
              <w:t>higher education providers within the meaning of the </w:t>
            </w:r>
            <w:r>
              <w:rPr>
                <w:i/>
                <w:sz w:val="20"/>
              </w:rPr>
              <w:t>Higher Education Support Act</w:t>
            </w:r>
            <w:r>
              <w:rPr>
                <w:i/>
                <w:spacing w:val="-2"/>
                <w:sz w:val="20"/>
              </w:rPr>
              <w:t> </w:t>
            </w:r>
            <w:r>
              <w:rPr>
                <w:i/>
                <w:sz w:val="20"/>
              </w:rPr>
              <w:t>2003</w:t>
            </w:r>
            <w:r>
              <w:rPr>
                <w:sz w:val="20"/>
              </w:rPr>
              <w:t>;</w:t>
            </w:r>
          </w:p>
          <w:p>
            <w:pPr>
              <w:pStyle w:val="TableParagraph"/>
              <w:spacing w:before="11"/>
              <w:rPr>
                <w:rFonts w:ascii="Arial"/>
                <w:b/>
                <w:sz w:val="19"/>
              </w:rPr>
            </w:pPr>
          </w:p>
          <w:p>
            <w:pPr>
              <w:pStyle w:val="TableParagraph"/>
              <w:numPr>
                <w:ilvl w:val="1"/>
                <w:numId w:val="5"/>
              </w:numPr>
              <w:tabs>
                <w:tab w:pos="2865" w:val="left" w:leader="none"/>
                <w:tab w:pos="2866" w:val="left" w:leader="none"/>
              </w:tabs>
              <w:spacing w:line="240" w:lineRule="auto" w:before="0" w:after="0"/>
              <w:ind w:left="2865" w:right="376" w:hanging="567"/>
              <w:jc w:val="left"/>
              <w:rPr>
                <w:sz w:val="20"/>
              </w:rPr>
            </w:pPr>
            <w:r>
              <w:rPr>
                <w:sz w:val="20"/>
              </w:rPr>
              <w:t>all registered training organisations as listed on the National Register under the </w:t>
            </w:r>
            <w:r>
              <w:rPr>
                <w:i/>
                <w:sz w:val="20"/>
              </w:rPr>
              <w:t>National Vocational Education and Training Regulator Act</w:t>
            </w:r>
            <w:r>
              <w:rPr>
                <w:i/>
                <w:spacing w:val="-2"/>
                <w:sz w:val="20"/>
              </w:rPr>
              <w:t> </w:t>
            </w:r>
            <w:r>
              <w:rPr>
                <w:i/>
                <w:sz w:val="20"/>
              </w:rPr>
              <w:t>2011</w:t>
            </w:r>
            <w:r>
              <w:rPr>
                <w:sz w:val="20"/>
              </w:rPr>
              <w:t>;</w:t>
            </w:r>
          </w:p>
          <w:p>
            <w:pPr>
              <w:pStyle w:val="TableParagraph"/>
              <w:spacing w:before="2"/>
              <w:rPr>
                <w:rFonts w:ascii="Arial"/>
                <w:b/>
                <w:sz w:val="20"/>
              </w:rPr>
            </w:pPr>
          </w:p>
          <w:p>
            <w:pPr>
              <w:pStyle w:val="TableParagraph"/>
              <w:numPr>
                <w:ilvl w:val="1"/>
                <w:numId w:val="5"/>
              </w:numPr>
              <w:tabs>
                <w:tab w:pos="2865" w:val="left" w:leader="none"/>
                <w:tab w:pos="2866" w:val="left" w:leader="none"/>
              </w:tabs>
              <w:spacing w:line="240" w:lineRule="auto" w:before="0" w:after="0"/>
              <w:ind w:left="2865" w:right="902" w:hanging="567"/>
              <w:jc w:val="left"/>
              <w:rPr>
                <w:sz w:val="20"/>
              </w:rPr>
            </w:pPr>
            <w:r>
              <w:rPr>
                <w:sz w:val="20"/>
              </w:rPr>
              <w:t>schools directly or indirectly funded under the</w:t>
            </w:r>
            <w:r>
              <w:rPr>
                <w:spacing w:val="-28"/>
                <w:sz w:val="20"/>
              </w:rPr>
              <w:t> </w:t>
            </w:r>
            <w:r>
              <w:rPr>
                <w:i/>
                <w:sz w:val="20"/>
              </w:rPr>
              <w:t>Australian Education Act 2013</w:t>
            </w:r>
            <w:r>
              <w:rPr>
                <w:sz w:val="20"/>
              </w:rPr>
              <w:t>;</w:t>
            </w:r>
            <w:r>
              <w:rPr>
                <w:spacing w:val="-2"/>
                <w:sz w:val="20"/>
              </w:rPr>
              <w:t> </w:t>
            </w:r>
            <w:r>
              <w:rPr>
                <w:sz w:val="20"/>
              </w:rPr>
              <w:t>or</w:t>
            </w:r>
          </w:p>
          <w:p>
            <w:pPr>
              <w:pStyle w:val="TableParagraph"/>
              <w:spacing w:before="10"/>
              <w:rPr>
                <w:rFonts w:ascii="Arial"/>
                <w:b/>
                <w:sz w:val="19"/>
              </w:rPr>
            </w:pPr>
          </w:p>
          <w:p>
            <w:pPr>
              <w:pStyle w:val="TableParagraph"/>
              <w:numPr>
                <w:ilvl w:val="1"/>
                <w:numId w:val="5"/>
              </w:numPr>
              <w:tabs>
                <w:tab w:pos="2865" w:val="left" w:leader="none"/>
                <w:tab w:pos="2866" w:val="left" w:leader="none"/>
              </w:tabs>
              <w:spacing w:line="240" w:lineRule="auto" w:before="0" w:after="0"/>
              <w:ind w:left="2865" w:right="56" w:hanging="567"/>
              <w:jc w:val="left"/>
              <w:rPr>
                <w:sz w:val="20"/>
              </w:rPr>
            </w:pPr>
            <w:r>
              <w:rPr>
                <w:sz w:val="20"/>
              </w:rPr>
              <w:t>similar scientific or education institutions, approved by the Minister for Industry, Innovation, Science, Research and Tertiary Education or by the Minister for School</w:t>
            </w:r>
            <w:r>
              <w:rPr>
                <w:spacing w:val="-2"/>
                <w:sz w:val="20"/>
              </w:rPr>
              <w:t> </w:t>
            </w:r>
            <w:r>
              <w:rPr>
                <w:sz w:val="20"/>
              </w:rPr>
              <w:t>Education.</w:t>
            </w:r>
          </w:p>
          <w:p>
            <w:pPr>
              <w:pStyle w:val="TableParagraph"/>
              <w:rPr>
                <w:rFonts w:ascii="Arial"/>
                <w:b/>
                <w:sz w:val="20"/>
              </w:rPr>
            </w:pPr>
          </w:p>
          <w:p>
            <w:pPr>
              <w:pStyle w:val="TableParagraph"/>
              <w:numPr>
                <w:ilvl w:val="0"/>
                <w:numId w:val="6"/>
              </w:numPr>
              <w:tabs>
                <w:tab w:pos="2299" w:val="left" w:leader="none"/>
                <w:tab w:pos="2300" w:val="left" w:leader="none"/>
              </w:tabs>
              <w:spacing w:line="240" w:lineRule="auto" w:before="0" w:after="0"/>
              <w:ind w:left="2299" w:right="159" w:hanging="567"/>
              <w:jc w:val="left"/>
              <w:rPr>
                <w:sz w:val="20"/>
              </w:rPr>
            </w:pPr>
            <w:r>
              <w:rPr>
                <w:sz w:val="20"/>
              </w:rPr>
              <w:t>For the purposes of paragraph (a) of item 1 of Schedule 4 to the </w:t>
            </w:r>
            <w:r>
              <w:rPr>
                <w:i/>
                <w:sz w:val="20"/>
              </w:rPr>
              <w:t>Customs Tariff Act 1995</w:t>
            </w:r>
            <w:r>
              <w:rPr>
                <w:sz w:val="20"/>
              </w:rPr>
              <w:t>, spare parts, components or accessories specially designed for use with the scientific instruments or apparatus prescribed in paragraphs 3 and 4 above are</w:t>
            </w:r>
            <w:r>
              <w:rPr>
                <w:spacing w:val="-2"/>
                <w:sz w:val="20"/>
              </w:rPr>
              <w:t> </w:t>
            </w:r>
            <w:r>
              <w:rPr>
                <w:sz w:val="20"/>
              </w:rPr>
              <w:t>prescribed.</w:t>
            </w:r>
          </w:p>
          <w:p>
            <w:pPr>
              <w:pStyle w:val="TableParagraph"/>
              <w:rPr>
                <w:rFonts w:ascii="Arial"/>
                <w:b/>
                <w:sz w:val="22"/>
              </w:rPr>
            </w:pPr>
          </w:p>
          <w:p>
            <w:pPr>
              <w:pStyle w:val="TableParagraph"/>
              <w:numPr>
                <w:ilvl w:val="0"/>
                <w:numId w:val="6"/>
              </w:numPr>
              <w:tabs>
                <w:tab w:pos="2299" w:val="left" w:leader="none"/>
                <w:tab w:pos="2300" w:val="left" w:leader="none"/>
              </w:tabs>
              <w:spacing w:line="240" w:lineRule="auto" w:before="152" w:after="0"/>
              <w:ind w:left="2298" w:right="227" w:hanging="567"/>
              <w:jc w:val="left"/>
              <w:rPr>
                <w:sz w:val="20"/>
              </w:rPr>
            </w:pPr>
            <w:r>
              <w:rPr>
                <w:sz w:val="20"/>
              </w:rPr>
              <w:t>For the purposes of paragraph (a) of item 1 of Schedule 4 to the </w:t>
            </w:r>
            <w:r>
              <w:rPr>
                <w:i/>
                <w:sz w:val="20"/>
              </w:rPr>
              <w:t>Customs Tariff Act 1995</w:t>
            </w:r>
            <w:r>
              <w:rPr>
                <w:sz w:val="20"/>
              </w:rPr>
              <w:t>, tools specially designed for the maintenance, checking, gauging or repair of scientific instruments or apparatus prescribed in paragraphs 3 and 4 above are</w:t>
            </w:r>
            <w:r>
              <w:rPr>
                <w:spacing w:val="-2"/>
                <w:sz w:val="20"/>
              </w:rPr>
              <w:t> </w:t>
            </w:r>
            <w:r>
              <w:rPr>
                <w:sz w:val="20"/>
              </w:rPr>
              <w:t>prescribed.</w:t>
            </w:r>
          </w:p>
          <w:p>
            <w:pPr>
              <w:pStyle w:val="TableParagraph"/>
              <w:rPr>
                <w:rFonts w:ascii="Arial"/>
                <w:b/>
                <w:sz w:val="20"/>
              </w:rPr>
            </w:pPr>
          </w:p>
          <w:p>
            <w:pPr>
              <w:pStyle w:val="TableParagraph"/>
              <w:numPr>
                <w:ilvl w:val="0"/>
                <w:numId w:val="6"/>
              </w:numPr>
              <w:tabs>
                <w:tab w:pos="2298" w:val="left" w:leader="none"/>
                <w:tab w:pos="2299" w:val="left" w:leader="none"/>
              </w:tabs>
              <w:spacing w:line="229" w:lineRule="exact" w:before="0" w:after="0"/>
              <w:ind w:left="2298" w:right="0" w:hanging="567"/>
              <w:jc w:val="left"/>
              <w:rPr>
                <w:sz w:val="20"/>
              </w:rPr>
            </w:pPr>
            <w:r>
              <w:rPr>
                <w:sz w:val="20"/>
              </w:rPr>
              <w:t>For the purposes of this by-law, the “</w:t>
            </w:r>
            <w:r>
              <w:rPr>
                <w:i/>
                <w:sz w:val="20"/>
              </w:rPr>
              <w:t>Customs Tariff Act 1995</w:t>
            </w:r>
            <w:r>
              <w:rPr>
                <w:sz w:val="20"/>
              </w:rPr>
              <w:t>” means</w:t>
            </w:r>
            <w:r>
              <w:rPr>
                <w:spacing w:val="-28"/>
                <w:sz w:val="20"/>
              </w:rPr>
              <w:t> </w:t>
            </w:r>
            <w:r>
              <w:rPr>
                <w:sz w:val="20"/>
              </w:rPr>
              <w:t>the</w:t>
            </w:r>
          </w:p>
          <w:p>
            <w:pPr>
              <w:pStyle w:val="TableParagraph"/>
              <w:spacing w:line="229" w:lineRule="exact"/>
              <w:ind w:left="2298"/>
              <w:rPr>
                <w:sz w:val="20"/>
              </w:rPr>
            </w:pPr>
            <w:r>
              <w:rPr>
                <w:i/>
                <w:sz w:val="20"/>
              </w:rPr>
              <w:t>Customs Tariff Act 1995</w:t>
            </w:r>
            <w:r>
              <w:rPr>
                <w:sz w:val="20"/>
              </w:rPr>
              <w:t>, as amended or proposed to be altered.</w:t>
            </w:r>
          </w:p>
        </w:tc>
        <w:tc>
          <w:tcPr>
            <w:tcW w:w="1380" w:type="dxa"/>
            <w:tcBorders>
              <w:right w:val="nil"/>
            </w:tcBorders>
          </w:tcPr>
          <w:p>
            <w:pPr>
              <w:pStyle w:val="TableParagraph"/>
              <w:rPr>
                <w:sz w:val="20"/>
              </w:rPr>
            </w:pPr>
          </w:p>
        </w:tc>
      </w:tr>
    </w:tbl>
    <w:p>
      <w:pPr>
        <w:pStyle w:val="Heading3"/>
        <w:numPr>
          <w:ilvl w:val="0"/>
          <w:numId w:val="7"/>
        </w:numPr>
        <w:tabs>
          <w:tab w:pos="228" w:val="left" w:leader="none"/>
        </w:tabs>
        <w:spacing w:line="224" w:lineRule="exact" w:before="0" w:after="0"/>
        <w:ind w:left="9000" w:right="1555" w:hanging="9000"/>
        <w:jc w:val="right"/>
        <w:rPr>
          <w:rFonts w:ascii="Arial Narrow" w:hAnsi="Arial Narrow"/>
        </w:rPr>
      </w:pPr>
      <w:r>
        <w:rPr>
          <w:rFonts w:ascii="Arial Narrow" w:hAnsi="Arial Narrow"/>
        </w:rPr>
        <w:t>Operative</w:t>
      </w:r>
      <w:r>
        <w:rPr>
          <w:rFonts w:ascii="Arial Narrow" w:hAnsi="Arial Narrow"/>
          <w:spacing w:val="-7"/>
        </w:rPr>
        <w:t> </w:t>
      </w:r>
      <w:r>
        <w:rPr>
          <w:rFonts w:ascii="Arial Narrow" w:hAnsi="Arial Narrow"/>
        </w:rPr>
        <w:t>20/7/18</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000"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9290" w:hanging="228"/>
      </w:pPr>
      <w:rPr>
        <w:rFonts w:hint="default"/>
        <w:lang w:val="en-au" w:eastAsia="en-US" w:bidi="ar-SA"/>
      </w:rPr>
    </w:lvl>
    <w:lvl w:ilvl="2">
      <w:start w:val="0"/>
      <w:numFmt w:val="bullet"/>
      <w:lvlText w:val="•"/>
      <w:lvlJc w:val="left"/>
      <w:pPr>
        <w:ind w:left="9581" w:hanging="228"/>
      </w:pPr>
      <w:rPr>
        <w:rFonts w:hint="default"/>
        <w:lang w:val="en-au" w:eastAsia="en-US" w:bidi="ar-SA"/>
      </w:rPr>
    </w:lvl>
    <w:lvl w:ilvl="3">
      <w:start w:val="0"/>
      <w:numFmt w:val="bullet"/>
      <w:lvlText w:val="•"/>
      <w:lvlJc w:val="left"/>
      <w:pPr>
        <w:ind w:left="9871" w:hanging="228"/>
      </w:pPr>
      <w:rPr>
        <w:rFonts w:hint="default"/>
        <w:lang w:val="en-au" w:eastAsia="en-US" w:bidi="ar-SA"/>
      </w:rPr>
    </w:lvl>
    <w:lvl w:ilvl="4">
      <w:start w:val="0"/>
      <w:numFmt w:val="bullet"/>
      <w:lvlText w:val="•"/>
      <w:lvlJc w:val="left"/>
      <w:pPr>
        <w:ind w:left="10162" w:hanging="228"/>
      </w:pPr>
      <w:rPr>
        <w:rFonts w:hint="default"/>
        <w:lang w:val="en-au" w:eastAsia="en-US" w:bidi="ar-SA"/>
      </w:rPr>
    </w:lvl>
    <w:lvl w:ilvl="5">
      <w:start w:val="0"/>
      <w:numFmt w:val="bullet"/>
      <w:lvlText w:val="•"/>
      <w:lvlJc w:val="left"/>
      <w:pPr>
        <w:ind w:left="10453" w:hanging="228"/>
      </w:pPr>
      <w:rPr>
        <w:rFonts w:hint="default"/>
        <w:lang w:val="en-au" w:eastAsia="en-US" w:bidi="ar-SA"/>
      </w:rPr>
    </w:lvl>
    <w:lvl w:ilvl="6">
      <w:start w:val="0"/>
      <w:numFmt w:val="bullet"/>
      <w:lvlText w:val="•"/>
      <w:lvlJc w:val="left"/>
      <w:pPr>
        <w:ind w:left="10743" w:hanging="228"/>
      </w:pPr>
      <w:rPr>
        <w:rFonts w:hint="default"/>
        <w:lang w:val="en-au" w:eastAsia="en-US" w:bidi="ar-SA"/>
      </w:rPr>
    </w:lvl>
    <w:lvl w:ilvl="7">
      <w:start w:val="0"/>
      <w:numFmt w:val="bullet"/>
      <w:lvlText w:val="•"/>
      <w:lvlJc w:val="left"/>
      <w:pPr>
        <w:ind w:left="11034" w:hanging="228"/>
      </w:pPr>
      <w:rPr>
        <w:rFonts w:hint="default"/>
        <w:lang w:val="en-au" w:eastAsia="en-US" w:bidi="ar-SA"/>
      </w:rPr>
    </w:lvl>
    <w:lvl w:ilvl="8">
      <w:start w:val="0"/>
      <w:numFmt w:val="bullet"/>
      <w:lvlText w:val="•"/>
      <w:lvlJc w:val="left"/>
      <w:pPr>
        <w:ind w:left="11325" w:hanging="228"/>
      </w:pPr>
      <w:rPr>
        <w:rFonts w:hint="default"/>
        <w:lang w:val="en-au" w:eastAsia="en-US" w:bidi="ar-SA"/>
      </w:rPr>
    </w:lvl>
  </w:abstractNum>
  <w:abstractNum w:abstractNumId="5">
    <w:multiLevelType w:val="hybridMultilevel"/>
    <w:lvl w:ilvl="0">
      <w:start w:val="5"/>
      <w:numFmt w:val="decimal"/>
      <w:lvlText w:val="%1."/>
      <w:lvlJc w:val="left"/>
      <w:pPr>
        <w:ind w:left="2299" w:hanging="567"/>
        <w:jc w:val="left"/>
      </w:pPr>
      <w:rPr>
        <w:rFonts w:hint="default" w:ascii="Times New Roman" w:hAnsi="Times New Roman" w:eastAsia="Times New Roman" w:cs="Times New Roman"/>
        <w:spacing w:val="0"/>
        <w:w w:val="99"/>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4">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1"/>
      <w:numFmt w:val="decimal"/>
      <w:lvlText w:val="%2."/>
      <w:lvlJc w:val="left"/>
      <w:pPr>
        <w:ind w:left="2301" w:hanging="567"/>
        <w:jc w:val="left"/>
      </w:pPr>
      <w:rPr>
        <w:rFonts w:hint="default" w:ascii="Times New Roman" w:hAnsi="Times New Roman" w:eastAsia="Times New Roman" w:cs="Times New Roman"/>
        <w:spacing w:val="0"/>
        <w:w w:val="99"/>
        <w:sz w:val="20"/>
        <w:szCs w:val="20"/>
        <w:lang w:val="en-au" w:eastAsia="en-US" w:bidi="ar-SA"/>
      </w:rPr>
    </w:lvl>
    <w:lvl w:ilvl="2">
      <w:start w:val="0"/>
      <w:numFmt w:val="bullet"/>
      <w:lvlText w:val="•"/>
      <w:lvlJc w:val="left"/>
      <w:pPr>
        <w:ind w:left="2973" w:hanging="567"/>
      </w:pPr>
      <w:rPr>
        <w:rFonts w:hint="default"/>
        <w:lang w:val="en-au" w:eastAsia="en-US" w:bidi="ar-SA"/>
      </w:rPr>
    </w:lvl>
    <w:lvl w:ilvl="3">
      <w:start w:val="0"/>
      <w:numFmt w:val="bullet"/>
      <w:lvlText w:val="•"/>
      <w:lvlJc w:val="left"/>
      <w:pPr>
        <w:ind w:left="3646" w:hanging="567"/>
      </w:pPr>
      <w:rPr>
        <w:rFonts w:hint="default"/>
        <w:lang w:val="en-au" w:eastAsia="en-US" w:bidi="ar-SA"/>
      </w:rPr>
    </w:lvl>
    <w:lvl w:ilvl="4">
      <w:start w:val="0"/>
      <w:numFmt w:val="bullet"/>
      <w:lvlText w:val="•"/>
      <w:lvlJc w:val="left"/>
      <w:pPr>
        <w:ind w:left="4320" w:hanging="567"/>
      </w:pPr>
      <w:rPr>
        <w:rFonts w:hint="default"/>
        <w:lang w:val="en-au" w:eastAsia="en-US" w:bidi="ar-SA"/>
      </w:rPr>
    </w:lvl>
    <w:lvl w:ilvl="5">
      <w:start w:val="0"/>
      <w:numFmt w:val="bullet"/>
      <w:lvlText w:val="•"/>
      <w:lvlJc w:val="left"/>
      <w:pPr>
        <w:ind w:left="4993" w:hanging="567"/>
      </w:pPr>
      <w:rPr>
        <w:rFonts w:hint="default"/>
        <w:lang w:val="en-au" w:eastAsia="en-US" w:bidi="ar-SA"/>
      </w:rPr>
    </w:lvl>
    <w:lvl w:ilvl="6">
      <w:start w:val="0"/>
      <w:numFmt w:val="bullet"/>
      <w:lvlText w:val="•"/>
      <w:lvlJc w:val="left"/>
      <w:pPr>
        <w:ind w:left="5667" w:hanging="567"/>
      </w:pPr>
      <w:rPr>
        <w:rFonts w:hint="default"/>
        <w:lang w:val="en-au" w:eastAsia="en-US" w:bidi="ar-SA"/>
      </w:rPr>
    </w:lvl>
    <w:lvl w:ilvl="7">
      <w:start w:val="0"/>
      <w:numFmt w:val="bullet"/>
      <w:lvlText w:val="•"/>
      <w:lvlJc w:val="left"/>
      <w:pPr>
        <w:ind w:left="6340" w:hanging="567"/>
      </w:pPr>
      <w:rPr>
        <w:rFonts w:hint="default"/>
        <w:lang w:val="en-au" w:eastAsia="en-US" w:bidi="ar-SA"/>
      </w:rPr>
    </w:lvl>
    <w:lvl w:ilvl="8">
      <w:start w:val="0"/>
      <w:numFmt w:val="bullet"/>
      <w:lvlText w:val="•"/>
      <w:lvlJc w:val="left"/>
      <w:pPr>
        <w:ind w:left="7014" w:hanging="567"/>
      </w:pPr>
      <w:rPr>
        <w:rFonts w:hint="default"/>
        <w:lang w:val="en-au" w:eastAsia="en-US" w:bidi="ar-SA"/>
      </w:rPr>
    </w:lvl>
  </w:abstractNum>
  <w:abstractNum w:abstractNumId="2">
    <w:multiLevelType w:val="hybridMultilevel"/>
    <w:lvl w:ilvl="0">
      <w:start w:val="1"/>
      <w:numFmt w:val="lowerLetter"/>
      <w:lvlText w:val="%1)"/>
      <w:lvlJc w:val="left"/>
      <w:pPr>
        <w:ind w:left="1984" w:hanging="579"/>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9732" w:hanging="228"/>
      </w:pPr>
      <w:rPr>
        <w:rFonts w:hint="default" w:ascii="Wingdings" w:hAnsi="Wingdings" w:eastAsia="Wingdings" w:cs="Wingdings"/>
        <w:w w:val="99"/>
        <w:sz w:val="20"/>
        <w:szCs w:val="20"/>
        <w:lang w:val="en-au" w:eastAsia="en-US" w:bidi="ar-SA"/>
      </w:rPr>
    </w:lvl>
    <w:lvl w:ilvl="2">
      <w:start w:val="0"/>
      <w:numFmt w:val="bullet"/>
      <w:lvlText w:val="•"/>
      <w:lvlJc w:val="left"/>
      <w:pPr>
        <w:ind w:left="9980" w:hanging="228"/>
      </w:pPr>
      <w:rPr>
        <w:rFonts w:hint="default"/>
        <w:lang w:val="en-au" w:eastAsia="en-US" w:bidi="ar-SA"/>
      </w:rPr>
    </w:lvl>
    <w:lvl w:ilvl="3">
      <w:start w:val="0"/>
      <w:numFmt w:val="bullet"/>
      <w:lvlText w:val="•"/>
      <w:lvlJc w:val="left"/>
      <w:pPr>
        <w:ind w:left="10221" w:hanging="228"/>
      </w:pPr>
      <w:rPr>
        <w:rFonts w:hint="default"/>
        <w:lang w:val="en-au" w:eastAsia="en-US" w:bidi="ar-SA"/>
      </w:rPr>
    </w:lvl>
    <w:lvl w:ilvl="4">
      <w:start w:val="0"/>
      <w:numFmt w:val="bullet"/>
      <w:lvlText w:val="•"/>
      <w:lvlJc w:val="left"/>
      <w:pPr>
        <w:ind w:left="10462" w:hanging="228"/>
      </w:pPr>
      <w:rPr>
        <w:rFonts w:hint="default"/>
        <w:lang w:val="en-au" w:eastAsia="en-US" w:bidi="ar-SA"/>
      </w:rPr>
    </w:lvl>
    <w:lvl w:ilvl="5">
      <w:start w:val="0"/>
      <w:numFmt w:val="bullet"/>
      <w:lvlText w:val="•"/>
      <w:lvlJc w:val="left"/>
      <w:pPr>
        <w:ind w:left="10702" w:hanging="228"/>
      </w:pPr>
      <w:rPr>
        <w:rFonts w:hint="default"/>
        <w:lang w:val="en-au" w:eastAsia="en-US" w:bidi="ar-SA"/>
      </w:rPr>
    </w:lvl>
    <w:lvl w:ilvl="6">
      <w:start w:val="0"/>
      <w:numFmt w:val="bullet"/>
      <w:lvlText w:val="•"/>
      <w:lvlJc w:val="left"/>
      <w:pPr>
        <w:ind w:left="10943" w:hanging="228"/>
      </w:pPr>
      <w:rPr>
        <w:rFonts w:hint="default"/>
        <w:lang w:val="en-au" w:eastAsia="en-US" w:bidi="ar-SA"/>
      </w:rPr>
    </w:lvl>
    <w:lvl w:ilvl="7">
      <w:start w:val="0"/>
      <w:numFmt w:val="bullet"/>
      <w:lvlText w:val="•"/>
      <w:lvlJc w:val="left"/>
      <w:pPr>
        <w:ind w:left="11184" w:hanging="228"/>
      </w:pPr>
      <w:rPr>
        <w:rFonts w:hint="default"/>
        <w:lang w:val="en-au" w:eastAsia="en-US" w:bidi="ar-SA"/>
      </w:rPr>
    </w:lvl>
    <w:lvl w:ilvl="8">
      <w:start w:val="0"/>
      <w:numFmt w:val="bullet"/>
      <w:lvlText w:val="•"/>
      <w:lvlJc w:val="left"/>
      <w:pPr>
        <w:ind w:left="11424" w:hanging="228"/>
      </w:pPr>
      <w:rPr>
        <w:rFonts w:hint="default"/>
        <w:lang w:val="en-au" w:eastAsia="en-US" w:bidi="ar-SA"/>
      </w:rPr>
    </w:lvl>
  </w:abstractNum>
  <w:abstractNum w:abstractNumId="1">
    <w:multiLevelType w:val="hybridMultilevel"/>
    <w:lvl w:ilvl="0">
      <w:start w:val="1"/>
      <w:numFmt w:val="lowerLetter"/>
      <w:lvlText w:val="%1)"/>
      <w:lvlJc w:val="left"/>
      <w:pPr>
        <w:ind w:left="2126" w:hanging="71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3098" w:hanging="711"/>
      </w:pPr>
      <w:rPr>
        <w:rFonts w:hint="default"/>
        <w:lang w:val="en-au" w:eastAsia="en-US" w:bidi="ar-SA"/>
      </w:rPr>
    </w:lvl>
    <w:lvl w:ilvl="2">
      <w:start w:val="0"/>
      <w:numFmt w:val="bullet"/>
      <w:lvlText w:val="•"/>
      <w:lvlJc w:val="left"/>
      <w:pPr>
        <w:ind w:left="4077" w:hanging="711"/>
      </w:pPr>
      <w:rPr>
        <w:rFonts w:hint="default"/>
        <w:lang w:val="en-au" w:eastAsia="en-US" w:bidi="ar-SA"/>
      </w:rPr>
    </w:lvl>
    <w:lvl w:ilvl="3">
      <w:start w:val="0"/>
      <w:numFmt w:val="bullet"/>
      <w:lvlText w:val="•"/>
      <w:lvlJc w:val="left"/>
      <w:pPr>
        <w:ind w:left="5055" w:hanging="711"/>
      </w:pPr>
      <w:rPr>
        <w:rFonts w:hint="default"/>
        <w:lang w:val="en-au" w:eastAsia="en-US" w:bidi="ar-SA"/>
      </w:rPr>
    </w:lvl>
    <w:lvl w:ilvl="4">
      <w:start w:val="0"/>
      <w:numFmt w:val="bullet"/>
      <w:lvlText w:val="•"/>
      <w:lvlJc w:val="left"/>
      <w:pPr>
        <w:ind w:left="6034" w:hanging="711"/>
      </w:pPr>
      <w:rPr>
        <w:rFonts w:hint="default"/>
        <w:lang w:val="en-au" w:eastAsia="en-US" w:bidi="ar-SA"/>
      </w:rPr>
    </w:lvl>
    <w:lvl w:ilvl="5">
      <w:start w:val="0"/>
      <w:numFmt w:val="bullet"/>
      <w:lvlText w:val="•"/>
      <w:lvlJc w:val="left"/>
      <w:pPr>
        <w:ind w:left="7013" w:hanging="711"/>
      </w:pPr>
      <w:rPr>
        <w:rFonts w:hint="default"/>
        <w:lang w:val="en-au" w:eastAsia="en-US" w:bidi="ar-SA"/>
      </w:rPr>
    </w:lvl>
    <w:lvl w:ilvl="6">
      <w:start w:val="0"/>
      <w:numFmt w:val="bullet"/>
      <w:lvlText w:val="•"/>
      <w:lvlJc w:val="left"/>
      <w:pPr>
        <w:ind w:left="7991" w:hanging="711"/>
      </w:pPr>
      <w:rPr>
        <w:rFonts w:hint="default"/>
        <w:lang w:val="en-au" w:eastAsia="en-US" w:bidi="ar-SA"/>
      </w:rPr>
    </w:lvl>
    <w:lvl w:ilvl="7">
      <w:start w:val="0"/>
      <w:numFmt w:val="bullet"/>
      <w:lvlText w:val="•"/>
      <w:lvlJc w:val="left"/>
      <w:pPr>
        <w:ind w:left="8970" w:hanging="711"/>
      </w:pPr>
      <w:rPr>
        <w:rFonts w:hint="default"/>
        <w:lang w:val="en-au" w:eastAsia="en-US" w:bidi="ar-SA"/>
      </w:rPr>
    </w:lvl>
    <w:lvl w:ilvl="8">
      <w:start w:val="0"/>
      <w:numFmt w:val="bullet"/>
      <w:lvlText w:val="•"/>
      <w:lvlJc w:val="left"/>
      <w:pPr>
        <w:ind w:left="9949" w:hanging="711"/>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5"/>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99"/>
      <w:jc w:val="center"/>
      <w:outlineLvl w:val="2"/>
    </w:pPr>
    <w:rPr>
      <w:rFonts w:ascii="Arial" w:hAnsi="Arial" w:eastAsia="Arial" w:cs="Arial"/>
      <w:b/>
      <w:bCs/>
      <w:sz w:val="24"/>
      <w:szCs w:val="24"/>
      <w:lang w:val="en-au" w:eastAsia="en-US" w:bidi="ar-SA"/>
    </w:rPr>
  </w:style>
  <w:style w:styleId="Heading3" w:type="paragraph">
    <w:name w:val="Heading 3"/>
    <w:basedOn w:val="Normal"/>
    <w:uiPriority w:val="1"/>
    <w:qFormat/>
    <w:pPr>
      <w:ind w:left="1132"/>
      <w:outlineLvl w:val="3"/>
    </w:pPr>
    <w:rPr>
      <w:rFonts w:ascii="Arial" w:hAnsi="Arial" w:eastAsia="Arial" w:cs="Arial"/>
      <w:b/>
      <w:bCs/>
      <w:sz w:val="20"/>
      <w:szCs w:val="20"/>
      <w:lang w:val="en-au" w:eastAsia="en-US" w:bidi="ar-SA"/>
    </w:rPr>
  </w:style>
  <w:style w:styleId="Title" w:type="paragraph">
    <w:name w:val="Title"/>
    <w:basedOn w:val="Normal"/>
    <w:uiPriority w:val="1"/>
    <w:qFormat/>
    <w:pPr>
      <w:spacing w:before="85"/>
      <w:ind w:left="1411" w:right="141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ind w:left="1852" w:right="823" w:hanging="71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ACN; DHAN; DHAN 2018/23; Notice; Customs Tariff; Customs Tariff By-law; By-law no. 1339704; By-law No. 1800146; 1339704; 1800146; by-law; item 1; </cp:keywords>
  <dc:subject>Department of Home Affairs Notice</dc:subject>
  <dc:title>Department of Home Affairs Notice - Item 1 By-law</dc:title>
  <dcterms:created xsi:type="dcterms:W3CDTF">2020-12-09T22:34:20Z</dcterms:created>
  <dcterms:modified xsi:type="dcterms:W3CDTF">2020-12-09T22:34:20Z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Acrobat PDFMaker 15 for Word</vt:lpwstr>
  </property>
  <property fmtid="{D5CDD505-2E9C-101B-9397-08002B2CF9AE}" pid="4" name="LastSaved">
    <vt:filetime>2020-12-09T00:00:00Z</vt:filetime>
  </property>
</Properties>
</file>