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line="319" w:lineRule="auto"/>
      </w:pPr>
      <w:r>
        <w:rPr/>
        <w:pict>
          <v:group style="position:absolute;margin-left:0pt;margin-top:-138.424805pt;width:594.85pt;height:116pt;mso-position-horizontal-relative:page;mso-position-vertical-relative:paragraph;z-index:15728640" coordorigin="0,-2768" coordsize="11897,2320">
            <v:shape style="position:absolute;left:0;top:-2769;width:11897;height:2320" type="#_x0000_t75" stroked="false">
              <v:imagedata r:id="rId5" o:title=""/>
            </v:shape>
            <v:shape style="position:absolute;left:679;top:-2091;width:1368;height:1015" type="#_x0000_t75" stroked="false">
              <v:imagedata r:id="rId6" o:title=""/>
            </v:shape>
            <v:line style="position:absolute" from="2173,-1453" to="5096,-1453" stroked="true" strokeweight=".748494pt" strokecolor="#ffffff">
              <v:stroke dashstyle="solid"/>
            </v:line>
            <v:shapetype id="_x0000_t202" o:spt="202" coordsize="21600,21600" path="m,l,21600r21600,l21600,xe">
              <v:stroke joinstyle="miter"/>
              <v:path gradientshapeok="t" o:connecttype="rect"/>
            </v:shapetype>
            <v:shape style="position:absolute;left:0;top:-2769;width:11897;height:2320" type="#_x0000_t202" filled="false" stroked="false">
              <v:textbox inset="0,0,0,0">
                <w:txbxContent>
                  <w:p>
                    <w:pPr>
                      <w:spacing w:line="240" w:lineRule="auto" w:before="0"/>
                      <w:rPr>
                        <w:sz w:val="28"/>
                      </w:rPr>
                    </w:pPr>
                  </w:p>
                  <w:p>
                    <w:pPr>
                      <w:spacing w:line="240" w:lineRule="auto" w:before="0"/>
                      <w:rPr>
                        <w:sz w:val="28"/>
                      </w:rPr>
                    </w:pPr>
                  </w:p>
                  <w:p>
                    <w:pPr>
                      <w:spacing w:line="240" w:lineRule="auto" w:before="10"/>
                      <w:rPr>
                        <w:sz w:val="25"/>
                      </w:rPr>
                    </w:pPr>
                  </w:p>
                  <w:p>
                    <w:pPr>
                      <w:spacing w:line="369" w:lineRule="auto" w:before="0"/>
                      <w:ind w:left="2158" w:right="6074" w:firstLine="0"/>
                      <w:jc w:val="left"/>
                      <w:rPr>
                        <w:rFonts w:ascii="Times New Roman"/>
                        <w:b/>
                        <w:sz w:val="26"/>
                      </w:rPr>
                    </w:pPr>
                    <w:r>
                      <w:rPr>
                        <w:rFonts w:ascii="Times New Roman"/>
                        <w:b/>
                        <w:color w:val="FFFFFF"/>
                        <w:spacing w:val="-9"/>
                        <w:sz w:val="26"/>
                      </w:rPr>
                      <w:t>Australian </w:t>
                    </w:r>
                    <w:r>
                      <w:rPr>
                        <w:rFonts w:ascii="Times New Roman"/>
                        <w:b/>
                        <w:color w:val="FFFFFF"/>
                        <w:spacing w:val="-11"/>
                        <w:sz w:val="26"/>
                      </w:rPr>
                      <w:t>Government </w:t>
                    </w:r>
                    <w:r>
                      <w:rPr>
                        <w:rFonts w:ascii="Times New Roman"/>
                        <w:b/>
                        <w:color w:val="FFFFFF"/>
                        <w:spacing w:val="-10"/>
                        <w:sz w:val="26"/>
                      </w:rPr>
                      <w:t>Department </w:t>
                    </w:r>
                    <w:r>
                      <w:rPr>
                        <w:rFonts w:ascii="Times New Roman"/>
                        <w:b/>
                        <w:color w:val="FFFFFF"/>
                        <w:spacing w:val="-6"/>
                        <w:sz w:val="26"/>
                      </w:rPr>
                      <w:t>of </w:t>
                    </w:r>
                    <w:r>
                      <w:rPr>
                        <w:rFonts w:ascii="Times New Roman"/>
                        <w:b/>
                        <w:color w:val="FFFFFF"/>
                        <w:spacing w:val="-10"/>
                        <w:sz w:val="26"/>
                      </w:rPr>
                      <w:t>Home </w:t>
                    </w:r>
                    <w:r>
                      <w:rPr>
                        <w:rFonts w:ascii="Times New Roman"/>
                        <w:b/>
                        <w:color w:val="FFFFFF"/>
                        <w:spacing w:val="-9"/>
                        <w:sz w:val="26"/>
                      </w:rPr>
                      <w:t>Affairs</w:t>
                    </w:r>
                  </w:p>
                </w:txbxContent>
              </v:textbox>
              <w10:wrap type="none"/>
            </v:shape>
            <w10:wrap type="none"/>
          </v:group>
        </w:pict>
      </w:r>
      <w:r>
        <w:rPr>
          <w:color w:val="034EA1"/>
        </w:rPr>
        <w:t>DEPARTMENT OF HOME AFFAIRS NOTICE No. 2018/40</w:t>
      </w:r>
    </w:p>
    <w:p>
      <w:pPr>
        <w:spacing w:before="88"/>
        <w:ind w:left="1428" w:right="1428" w:firstLine="0"/>
        <w:jc w:val="center"/>
        <w:rPr>
          <w:b/>
          <w:sz w:val="28"/>
        </w:rPr>
      </w:pPr>
      <w:r>
        <w:rPr>
          <w:b/>
          <w:sz w:val="28"/>
        </w:rPr>
        <w:t>Working Tariff and other changes commencing on 1 January 2019</w:t>
      </w:r>
    </w:p>
    <w:p>
      <w:pPr>
        <w:pStyle w:val="BodyText"/>
        <w:spacing w:before="6"/>
        <w:rPr>
          <w:b/>
          <w:sz w:val="23"/>
        </w:rPr>
      </w:pPr>
    </w:p>
    <w:p>
      <w:pPr>
        <w:pStyle w:val="Heading1"/>
      </w:pPr>
      <w:r>
        <w:rPr/>
        <w:t>Reduction of preferential customs duty rates</w:t>
      </w:r>
    </w:p>
    <w:p>
      <w:pPr>
        <w:pStyle w:val="BodyText"/>
        <w:spacing w:line="264" w:lineRule="auto" w:before="148"/>
        <w:ind w:left="1133" w:right="1907"/>
      </w:pPr>
      <w:r>
        <w:rPr/>
        <w:t>The next scheduled reduction of preferential customs duty rates will occur on 1 January 2019 for the following agreements:</w:t>
      </w:r>
    </w:p>
    <w:p>
      <w:pPr>
        <w:pStyle w:val="ListParagraph"/>
        <w:numPr>
          <w:ilvl w:val="0"/>
          <w:numId w:val="1"/>
        </w:numPr>
        <w:tabs>
          <w:tab w:pos="1853" w:val="left" w:leader="none"/>
          <w:tab w:pos="1854" w:val="left" w:leader="none"/>
        </w:tabs>
        <w:spacing w:line="240" w:lineRule="auto" w:before="135" w:after="0"/>
        <w:ind w:left="1853" w:right="0" w:hanging="361"/>
        <w:jc w:val="left"/>
        <w:rPr>
          <w:sz w:val="20"/>
        </w:rPr>
      </w:pPr>
      <w:r>
        <w:rPr>
          <w:sz w:val="20"/>
        </w:rPr>
        <w:t>the Agreement Establishing the ASEAN-Australia-New Zealand Free Trade Area</w:t>
      </w:r>
      <w:r>
        <w:rPr>
          <w:spacing w:val="-7"/>
          <w:sz w:val="20"/>
        </w:rPr>
        <w:t> </w:t>
      </w:r>
      <w:r>
        <w:rPr>
          <w:sz w:val="20"/>
        </w:rPr>
        <w:t>(AANZFTA);</w:t>
      </w:r>
    </w:p>
    <w:p>
      <w:pPr>
        <w:pStyle w:val="ListParagraph"/>
        <w:numPr>
          <w:ilvl w:val="0"/>
          <w:numId w:val="1"/>
        </w:numPr>
        <w:tabs>
          <w:tab w:pos="1853" w:val="left" w:leader="none"/>
          <w:tab w:pos="1854" w:val="left" w:leader="none"/>
        </w:tabs>
        <w:spacing w:line="240" w:lineRule="auto" w:before="157" w:after="0"/>
        <w:ind w:left="1853" w:right="0" w:hanging="361"/>
        <w:jc w:val="left"/>
        <w:rPr>
          <w:sz w:val="20"/>
        </w:rPr>
      </w:pPr>
      <w:r>
        <w:rPr>
          <w:sz w:val="20"/>
        </w:rPr>
        <w:t>the Comprehensive and Progressive Agreement for Trans-Pacific Partnership</w:t>
      </w:r>
      <w:r>
        <w:rPr>
          <w:spacing w:val="-7"/>
          <w:sz w:val="20"/>
        </w:rPr>
        <w:t> </w:t>
      </w:r>
      <w:r>
        <w:rPr>
          <w:sz w:val="20"/>
        </w:rPr>
        <w:t>(CPTPP);</w:t>
      </w:r>
    </w:p>
    <w:p>
      <w:pPr>
        <w:pStyle w:val="ListParagraph"/>
        <w:numPr>
          <w:ilvl w:val="0"/>
          <w:numId w:val="1"/>
        </w:numPr>
        <w:tabs>
          <w:tab w:pos="1853" w:val="left" w:leader="none"/>
          <w:tab w:pos="1854" w:val="left" w:leader="none"/>
        </w:tabs>
        <w:spacing w:line="240" w:lineRule="auto" w:before="156" w:after="0"/>
        <w:ind w:left="1853" w:right="0" w:hanging="361"/>
        <w:jc w:val="left"/>
        <w:rPr>
          <w:sz w:val="20"/>
        </w:rPr>
      </w:pPr>
      <w:r>
        <w:rPr>
          <w:sz w:val="20"/>
        </w:rPr>
        <w:t>the Korea-Australia Free Trade Agreement (KAFTA);</w:t>
      </w:r>
      <w:r>
        <w:rPr>
          <w:spacing w:val="-1"/>
          <w:sz w:val="20"/>
        </w:rPr>
        <w:t> </w:t>
      </w:r>
      <w:r>
        <w:rPr>
          <w:sz w:val="20"/>
        </w:rPr>
        <w:t>and</w:t>
      </w:r>
    </w:p>
    <w:p>
      <w:pPr>
        <w:pStyle w:val="ListParagraph"/>
        <w:numPr>
          <w:ilvl w:val="0"/>
          <w:numId w:val="1"/>
        </w:numPr>
        <w:tabs>
          <w:tab w:pos="1853" w:val="left" w:leader="none"/>
          <w:tab w:pos="1854" w:val="left" w:leader="none"/>
        </w:tabs>
        <w:spacing w:line="240" w:lineRule="auto" w:before="156" w:after="0"/>
        <w:ind w:left="1853" w:right="0" w:hanging="361"/>
        <w:jc w:val="left"/>
        <w:rPr>
          <w:sz w:val="20"/>
        </w:rPr>
      </w:pPr>
      <w:r>
        <w:rPr>
          <w:sz w:val="20"/>
        </w:rPr>
        <w:t>the China-Australia Free Trade Agreement</w:t>
      </w:r>
      <w:r>
        <w:rPr>
          <w:spacing w:val="-4"/>
          <w:sz w:val="20"/>
        </w:rPr>
        <w:t> </w:t>
      </w:r>
      <w:r>
        <w:rPr>
          <w:sz w:val="20"/>
        </w:rPr>
        <w:t>(ChAFTA).</w:t>
      </w:r>
    </w:p>
    <w:p>
      <w:pPr>
        <w:pStyle w:val="BodyText"/>
        <w:spacing w:line="264" w:lineRule="auto" w:before="142"/>
        <w:ind w:left="1133" w:right="1254"/>
      </w:pPr>
      <w:r>
        <w:rPr/>
        <w:t>A full schedule of reductions under these free trade agreements is provided in the Online Tariff </w:t>
      </w:r>
      <w:r>
        <w:rPr>
          <w:w w:val="95"/>
        </w:rPr>
        <w:t>(</w:t>
      </w:r>
      <w:hyperlink r:id="rId7">
        <w:r>
          <w:rPr>
            <w:w w:val="95"/>
            <w:u w:val="single"/>
          </w:rPr>
          <w:t>https://archive.homeaffairs.gov.au/busi/cargo-support-trade-and-goods/importing-goods/tariff-classification-</w:t>
        </w:r>
      </w:hyperlink>
      <w:r>
        <w:rPr>
          <w:w w:val="95"/>
        </w:rPr>
        <w:t> </w:t>
      </w:r>
      <w:hyperlink r:id="rId7">
        <w:r>
          <w:rPr>
            <w:u w:val="single"/>
          </w:rPr>
          <w:t>of-goods/current-tariff-classification</w:t>
        </w:r>
      </w:hyperlink>
      <w:r>
        <w:rPr/>
        <w:t>) and the Tariff Working Pages for Schedule 8 (AANZFTA), Schedule 8B (TPP-11), Schedule 10 (KAFTA) and Schedule 12 (ChAFTA).</w:t>
      </w:r>
    </w:p>
    <w:p>
      <w:pPr>
        <w:pStyle w:val="BodyText"/>
        <w:spacing w:before="119"/>
        <w:ind w:left="1133"/>
      </w:pPr>
      <w:r>
        <w:rPr/>
        <w:t>As these reduction are already incorporated into the working pages, no new pages will be issued.</w:t>
      </w:r>
    </w:p>
    <w:p>
      <w:pPr>
        <w:pStyle w:val="Heading1"/>
        <w:spacing w:before="146"/>
      </w:pPr>
      <w:r>
        <w:rPr/>
        <w:t>AANZFTA Product Specific Rules</w:t>
      </w:r>
    </w:p>
    <w:p>
      <w:pPr>
        <w:pStyle w:val="BodyText"/>
        <w:spacing w:line="264" w:lineRule="auto" w:before="145"/>
        <w:ind w:left="1133" w:right="1302"/>
      </w:pPr>
      <w:r>
        <w:rPr/>
        <w:t>On 1 January 2019 new AANZFTA Product Specific Rules will enter into force. The new AANZFTA Product Specific Rules use the nomenclature of the 2017 Harmonized System. The Product Specific Rules are in Annex 2 to AANZFTA (</w:t>
      </w:r>
      <w:hyperlink r:id="rId8">
        <w:r>
          <w:rPr>
            <w:u w:val="single"/>
          </w:rPr>
          <w:t>https://dfat.gov.au/trade/agreements/in-force/aanzfta/official-</w:t>
        </w:r>
      </w:hyperlink>
      <w:r>
        <w:rPr/>
        <w:t> </w:t>
      </w:r>
      <w:hyperlink r:id="rId8">
        <w:r>
          <w:rPr>
            <w:u w:val="single"/>
          </w:rPr>
          <w:t>documents/Pages/official-documents.aspx</w:t>
        </w:r>
      </w:hyperlink>
      <w:r>
        <w:rPr/>
        <w:t>).</w:t>
      </w:r>
    </w:p>
    <w:p>
      <w:pPr>
        <w:spacing w:line="266" w:lineRule="auto" w:before="119"/>
        <w:ind w:left="1133" w:right="1596" w:firstLine="0"/>
        <w:jc w:val="left"/>
        <w:rPr>
          <w:sz w:val="20"/>
        </w:rPr>
      </w:pPr>
      <w:r>
        <w:rPr>
          <w:sz w:val="20"/>
        </w:rPr>
        <w:t>Consistent with the changes made by the </w:t>
      </w:r>
      <w:r>
        <w:rPr>
          <w:i/>
          <w:sz w:val="20"/>
        </w:rPr>
        <w:t>Customs Amendment (Product Specific Rule Modernisation) Act 2018</w:t>
      </w:r>
      <w:r>
        <w:rPr>
          <w:sz w:val="20"/>
        </w:rPr>
        <w:t>, the Product Specific Rules for AANZFTA are no longer implemented through regulations. The changes made by this Act are covered in Department of Home Affairs Notice No. 2018/39.</w:t>
      </w:r>
    </w:p>
    <w:p>
      <w:pPr>
        <w:pStyle w:val="Heading1"/>
        <w:spacing w:before="115"/>
      </w:pPr>
      <w:r>
        <w:rPr/>
        <w:t>Import and export statistical code changes</w:t>
      </w:r>
    </w:p>
    <w:p>
      <w:pPr>
        <w:pStyle w:val="BodyText"/>
        <w:spacing w:before="148"/>
        <w:ind w:left="1133"/>
      </w:pPr>
      <w:r>
        <w:rPr/>
        <w:t>There will be no 1 January 2019 statistical code changes for imports and exports.</w:t>
      </w:r>
    </w:p>
    <w:p>
      <w:pPr>
        <w:pStyle w:val="BodyText"/>
        <w:spacing w:before="10"/>
        <w:rPr>
          <w:sz w:val="22"/>
        </w:rPr>
      </w:pPr>
    </w:p>
    <w:p>
      <w:pPr>
        <w:pStyle w:val="Heading1"/>
      </w:pPr>
      <w:r>
        <w:rPr/>
        <w:t>Further information</w:t>
      </w:r>
    </w:p>
    <w:p>
      <w:pPr>
        <w:pStyle w:val="BodyText"/>
        <w:spacing w:line="266" w:lineRule="auto" w:before="146"/>
        <w:ind w:left="1133" w:right="3230"/>
      </w:pPr>
      <w:r>
        <w:rPr/>
        <w:t>For further information about any of the matters covered by this notice please contact </w:t>
      </w:r>
      <w:hyperlink r:id="rId9">
        <w:r>
          <w:rPr>
            <w:u w:val="single"/>
          </w:rPr>
          <w:t>tradepolicy1@homeaffairs.gov.au</w:t>
        </w:r>
        <w:r>
          <w:rPr/>
          <w:t>.</w:t>
        </w:r>
      </w:hyperlink>
    </w:p>
    <w:p>
      <w:pPr>
        <w:pStyle w:val="BodyText"/>
      </w:pPr>
    </w:p>
    <w:p>
      <w:pPr>
        <w:pStyle w:val="BodyText"/>
        <w:spacing w:before="1"/>
        <w:rPr>
          <w:sz w:val="21"/>
        </w:rPr>
      </w:pPr>
    </w:p>
    <w:p>
      <w:pPr>
        <w:pStyle w:val="BodyText"/>
        <w:spacing w:before="93"/>
        <w:ind w:left="1133"/>
      </w:pPr>
      <w:r>
        <w:rPr/>
        <w:t>[signed]</w:t>
      </w:r>
    </w:p>
    <w:p>
      <w:pPr>
        <w:pStyle w:val="BodyText"/>
        <w:spacing w:line="264" w:lineRule="auto" w:before="144"/>
        <w:ind w:left="1133" w:right="9000"/>
      </w:pPr>
      <w:r>
        <w:rPr/>
        <w:t>Matthew Duckworth Assistant Secretary</w:t>
      </w:r>
    </w:p>
    <w:p>
      <w:pPr>
        <w:pStyle w:val="BodyText"/>
        <w:ind w:left="1133"/>
      </w:pPr>
      <w:r>
        <w:rPr/>
        <w:t>Customs and Border Revenue Branch</w:t>
      </w:r>
    </w:p>
    <w:p>
      <w:pPr>
        <w:pStyle w:val="BodyText"/>
        <w:spacing w:before="142"/>
        <w:ind w:left="1133"/>
      </w:pPr>
      <w:r>
        <w:rPr/>
        <w:t>14 December 2018</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3" w:hanging="360"/>
      </w:pPr>
      <w:rPr>
        <w:rFonts w:hint="default" w:ascii="Arial" w:hAnsi="Arial" w:eastAsia="Arial" w:cs="Arial"/>
        <w:w w:val="130"/>
        <w:sz w:val="20"/>
        <w:szCs w:val="20"/>
        <w:lang w:val="en-au" w:eastAsia="en-US" w:bidi="ar-SA"/>
      </w:rPr>
    </w:lvl>
    <w:lvl w:ilvl="1">
      <w:start w:val="0"/>
      <w:numFmt w:val="bullet"/>
      <w:lvlText w:val="•"/>
      <w:lvlJc w:val="left"/>
      <w:pPr>
        <w:ind w:left="2864" w:hanging="360"/>
      </w:pPr>
      <w:rPr>
        <w:rFonts w:hint="default"/>
        <w:lang w:val="en-au" w:eastAsia="en-US" w:bidi="ar-SA"/>
      </w:rPr>
    </w:lvl>
    <w:lvl w:ilvl="2">
      <w:start w:val="0"/>
      <w:numFmt w:val="bullet"/>
      <w:lvlText w:val="•"/>
      <w:lvlJc w:val="left"/>
      <w:pPr>
        <w:ind w:left="3869" w:hanging="360"/>
      </w:pPr>
      <w:rPr>
        <w:rFonts w:hint="default"/>
        <w:lang w:val="en-au" w:eastAsia="en-US" w:bidi="ar-SA"/>
      </w:rPr>
    </w:lvl>
    <w:lvl w:ilvl="3">
      <w:start w:val="0"/>
      <w:numFmt w:val="bullet"/>
      <w:lvlText w:val="•"/>
      <w:lvlJc w:val="left"/>
      <w:pPr>
        <w:ind w:left="4873" w:hanging="360"/>
      </w:pPr>
      <w:rPr>
        <w:rFonts w:hint="default"/>
        <w:lang w:val="en-au" w:eastAsia="en-US" w:bidi="ar-SA"/>
      </w:rPr>
    </w:lvl>
    <w:lvl w:ilvl="4">
      <w:start w:val="0"/>
      <w:numFmt w:val="bullet"/>
      <w:lvlText w:val="•"/>
      <w:lvlJc w:val="left"/>
      <w:pPr>
        <w:ind w:left="5878" w:hanging="360"/>
      </w:pPr>
      <w:rPr>
        <w:rFonts w:hint="default"/>
        <w:lang w:val="en-au" w:eastAsia="en-US" w:bidi="ar-SA"/>
      </w:rPr>
    </w:lvl>
    <w:lvl w:ilvl="5">
      <w:start w:val="0"/>
      <w:numFmt w:val="bullet"/>
      <w:lvlText w:val="•"/>
      <w:lvlJc w:val="left"/>
      <w:pPr>
        <w:ind w:left="6883" w:hanging="360"/>
      </w:pPr>
      <w:rPr>
        <w:rFonts w:hint="default"/>
        <w:lang w:val="en-au" w:eastAsia="en-US" w:bidi="ar-SA"/>
      </w:rPr>
    </w:lvl>
    <w:lvl w:ilvl="6">
      <w:start w:val="0"/>
      <w:numFmt w:val="bullet"/>
      <w:lvlText w:val="•"/>
      <w:lvlJc w:val="left"/>
      <w:pPr>
        <w:ind w:left="7887" w:hanging="360"/>
      </w:pPr>
      <w:rPr>
        <w:rFonts w:hint="default"/>
        <w:lang w:val="en-au" w:eastAsia="en-US" w:bidi="ar-SA"/>
      </w:rPr>
    </w:lvl>
    <w:lvl w:ilvl="7">
      <w:start w:val="0"/>
      <w:numFmt w:val="bullet"/>
      <w:lvlText w:val="•"/>
      <w:lvlJc w:val="left"/>
      <w:pPr>
        <w:ind w:left="8892" w:hanging="360"/>
      </w:pPr>
      <w:rPr>
        <w:rFonts w:hint="default"/>
        <w:lang w:val="en-au" w:eastAsia="en-US" w:bidi="ar-SA"/>
      </w:rPr>
    </w:lvl>
    <w:lvl w:ilvl="8">
      <w:start w:val="0"/>
      <w:numFmt w:val="bullet"/>
      <w:lvlText w:val="•"/>
      <w:lvlJc w:val="left"/>
      <w:pPr>
        <w:ind w:left="9897"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ind w:left="1133"/>
      <w:outlineLvl w:val="1"/>
    </w:pPr>
    <w:rPr>
      <w:rFonts w:ascii="Arial" w:hAnsi="Arial" w:eastAsia="Arial" w:cs="Arial"/>
      <w:b/>
      <w:bCs/>
      <w:sz w:val="24"/>
      <w:szCs w:val="24"/>
      <w:lang w:val="en-au" w:eastAsia="en-US" w:bidi="ar-SA"/>
    </w:rPr>
  </w:style>
  <w:style w:styleId="Title" w:type="paragraph">
    <w:name w:val="Title"/>
    <w:basedOn w:val="Normal"/>
    <w:uiPriority w:val="1"/>
    <w:qFormat/>
    <w:pPr>
      <w:spacing w:before="222"/>
      <w:ind w:left="1428" w:right="1433"/>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56"/>
      <w:ind w:left="1853" w:hanging="361"/>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s://archive.homeaffairs.gov.au/busi/cargo-support-trade-and-goods/importing-goods/tariff-classification-of-goods/current-tariff-classification" TargetMode="External"/><Relationship Id="rId8" Type="http://schemas.openxmlformats.org/officeDocument/2006/relationships/hyperlink" Target="https://dfat.gov.au/trade/agreements/in-force/aanzfta/official-documents/Pages/official-documents.aspx" TargetMode="External"/><Relationship Id="rId9" Type="http://schemas.openxmlformats.org/officeDocument/2006/relationships/hyperlink" Target="mailto:tradepolicy1@homeaffairs.gov.au"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Department of Home Affairs Notice 2018/40; 2018/40; DHAN 2018/40; 1 January 2019; statistical code changes; ASEAN Australia  New Zealand Free Trade Agreement product specific rules; AANZFTA Product specific rules; PSR transposition; HS2017 transposition; 2017 Harmonized System transposition; 1 January 2019 duty rate phase down; Korea Australia Free Trade Agreement duty rate phase down; KAFTA duty rate phase down; China Australia Free Trade Agreement duty rate phase down; ChAFTA duty rate phase down; duty rate reduction; Comprehensive and Progressive Agreement for Trans Pacific Partnership duty rate phase down; TPP-11 duty rate phase down; </cp:keywords>
  <dc:subject>Working Tariff and other changes commencing on 1 January 2019</dc:subject>
  <dc:title>Home Affairs Notice 2018/40</dc:title>
  <dcterms:created xsi:type="dcterms:W3CDTF">2020-12-09T22:48:44Z</dcterms:created>
  <dcterms:modified xsi:type="dcterms:W3CDTF">2020-12-09T22:48:44Z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2018-12-18T00:00:00Z</vt:filetime>
  </property>
  <property fmtid="{D5CDD505-2E9C-101B-9397-08002B2CF9AE}" pid="3" name="Creator">
    <vt:lpwstr>Microsoft® Word 2016</vt:lpwstr>
  </property>
  <property fmtid="{D5CDD505-2E9C-101B-9397-08002B2CF9AE}" pid="4" name="LastSaved">
    <vt:filetime>2020-12-09T00:00:00Z</vt:filetime>
  </property>
</Properties>
</file>