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20256">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2019/01</w:t>
      </w:r>
    </w:p>
    <w:p>
      <w:pPr>
        <w:spacing w:before="557"/>
        <w:ind w:left="727" w:right="60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50" w:right="1491"/>
      </w:pPr>
      <w:bookmarkStart w:name="The following individuals and companies " w:id="2"/>
      <w:bookmarkEnd w:id="2"/>
      <w:r>
        <w:rPr/>
      </w:r>
      <w:r>
        <w:rPr/>
        <w:t>The following individuals and companies have applied to the Comptroller-General of Customs for a customs broker licence:</w:t>
      </w:r>
    </w:p>
    <w:p>
      <w:pPr>
        <w:pStyle w:val="BodyText"/>
        <w:rPr>
          <w:sz w:val="20"/>
        </w:rPr>
      </w:pPr>
    </w:p>
    <w:p>
      <w:pPr>
        <w:pStyle w:val="BodyText"/>
        <w:rPr>
          <w:sz w:val="20"/>
        </w:rPr>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4394"/>
        <w:gridCol w:w="2657"/>
      </w:tblGrid>
      <w:tr>
        <w:trPr>
          <w:trHeight w:val="251" w:hRule="atLeast"/>
        </w:trPr>
        <w:tc>
          <w:tcPr>
            <w:tcW w:w="2176" w:type="dxa"/>
          </w:tcPr>
          <w:p>
            <w:pPr>
              <w:pStyle w:val="TableParagraph"/>
              <w:spacing w:line="232" w:lineRule="exact"/>
              <w:ind w:left="50"/>
              <w:rPr>
                <w:b/>
                <w:sz w:val="22"/>
              </w:rPr>
            </w:pPr>
            <w:r>
              <w:rPr>
                <w:b/>
                <w:sz w:val="22"/>
              </w:rPr>
              <w:t>INDIVIDUALS:</w:t>
            </w:r>
          </w:p>
        </w:tc>
        <w:tc>
          <w:tcPr>
            <w:tcW w:w="4394" w:type="dxa"/>
          </w:tcPr>
          <w:p>
            <w:pPr>
              <w:pStyle w:val="TableParagraph"/>
              <w:spacing w:line="232" w:lineRule="exact"/>
              <w:ind w:left="600"/>
              <w:rPr>
                <w:b/>
                <w:sz w:val="22"/>
              </w:rPr>
            </w:pPr>
            <w:r>
              <w:rPr>
                <w:b/>
                <w:sz w:val="22"/>
                <w:u w:val="thick"/>
              </w:rPr>
              <w:t>COMPANY</w:t>
            </w:r>
          </w:p>
        </w:tc>
        <w:tc>
          <w:tcPr>
            <w:tcW w:w="2657" w:type="dxa"/>
          </w:tcPr>
          <w:p>
            <w:pPr>
              <w:pStyle w:val="TableParagraph"/>
              <w:spacing w:line="232" w:lineRule="exact"/>
              <w:ind w:left="526"/>
              <w:rPr>
                <w:b/>
                <w:sz w:val="22"/>
              </w:rPr>
            </w:pPr>
            <w:r>
              <w:rPr>
                <w:b/>
                <w:sz w:val="22"/>
                <w:u w:val="thick"/>
              </w:rPr>
              <w:t>COMPANY</w:t>
            </w:r>
          </w:p>
        </w:tc>
      </w:tr>
      <w:tr>
        <w:trPr>
          <w:trHeight w:val="254" w:hRule="atLeast"/>
        </w:trPr>
        <w:tc>
          <w:tcPr>
            <w:tcW w:w="2176" w:type="dxa"/>
          </w:tcPr>
          <w:p>
            <w:pPr>
              <w:pStyle w:val="TableParagraph"/>
              <w:spacing w:line="234" w:lineRule="exact"/>
              <w:ind w:left="50"/>
              <w:rPr>
                <w:sz w:val="22"/>
              </w:rPr>
            </w:pPr>
            <w:r>
              <w:rPr>
                <w:sz w:val="22"/>
              </w:rPr>
              <w:t>Hope Dowsett</w:t>
            </w:r>
          </w:p>
        </w:tc>
        <w:tc>
          <w:tcPr>
            <w:tcW w:w="4394" w:type="dxa"/>
          </w:tcPr>
          <w:p>
            <w:pPr>
              <w:pStyle w:val="TableParagraph"/>
              <w:spacing w:line="234" w:lineRule="exact"/>
              <w:ind w:left="600"/>
              <w:rPr>
                <w:sz w:val="22"/>
              </w:rPr>
            </w:pPr>
            <w:r>
              <w:rPr>
                <w:sz w:val="22"/>
              </w:rPr>
              <w:t>IMPEX Customs Services Pty Ltd</w:t>
            </w:r>
          </w:p>
        </w:tc>
        <w:tc>
          <w:tcPr>
            <w:tcW w:w="2657" w:type="dxa"/>
          </w:tcPr>
          <w:p>
            <w:pPr>
              <w:pStyle w:val="TableParagraph"/>
              <w:spacing w:line="234" w:lineRule="exact"/>
              <w:ind w:left="526"/>
              <w:rPr>
                <w:sz w:val="22"/>
              </w:rPr>
            </w:pPr>
            <w:r>
              <w:rPr>
                <w:sz w:val="22"/>
              </w:rPr>
              <w:t>Visy Logistics Pty Ltd</w:t>
            </w:r>
          </w:p>
        </w:tc>
      </w:tr>
      <w:tr>
        <w:trPr>
          <w:trHeight w:val="632" w:hRule="atLeast"/>
        </w:trPr>
        <w:tc>
          <w:tcPr>
            <w:tcW w:w="2176" w:type="dxa"/>
          </w:tcPr>
          <w:p>
            <w:pPr>
              <w:pStyle w:val="TableParagraph"/>
              <w:spacing w:line="242" w:lineRule="auto"/>
              <w:ind w:left="50" w:right="577"/>
              <w:rPr>
                <w:sz w:val="22"/>
              </w:rPr>
            </w:pPr>
            <w:r>
              <w:rPr>
                <w:sz w:val="22"/>
              </w:rPr>
              <w:t>Xian Bao Pauline Dahalic</w:t>
            </w:r>
          </w:p>
        </w:tc>
        <w:tc>
          <w:tcPr>
            <w:tcW w:w="4394" w:type="dxa"/>
          </w:tcPr>
          <w:p>
            <w:pPr>
              <w:pStyle w:val="TableParagraph"/>
              <w:spacing w:before="9"/>
              <w:rPr>
                <w:sz w:val="21"/>
              </w:rPr>
            </w:pPr>
          </w:p>
          <w:p>
            <w:pPr>
              <w:pStyle w:val="TableParagraph"/>
              <w:ind w:left="600"/>
              <w:rPr>
                <w:sz w:val="22"/>
              </w:rPr>
            </w:pPr>
            <w:r>
              <w:rPr>
                <w:sz w:val="22"/>
              </w:rPr>
              <w:t>ABN 48 628 065 967</w:t>
            </w:r>
          </w:p>
        </w:tc>
        <w:tc>
          <w:tcPr>
            <w:tcW w:w="2657" w:type="dxa"/>
          </w:tcPr>
          <w:p>
            <w:pPr>
              <w:pStyle w:val="TableParagraph"/>
              <w:spacing w:before="9"/>
              <w:rPr>
                <w:sz w:val="21"/>
              </w:rPr>
            </w:pPr>
          </w:p>
          <w:p>
            <w:pPr>
              <w:pStyle w:val="TableParagraph"/>
              <w:ind w:left="526"/>
              <w:rPr>
                <w:sz w:val="22"/>
              </w:rPr>
            </w:pPr>
            <w:r>
              <w:rPr>
                <w:sz w:val="22"/>
              </w:rPr>
              <w:t>ABN 12 089 137 986</w:t>
            </w:r>
          </w:p>
        </w:tc>
      </w:tr>
      <w:tr>
        <w:trPr>
          <w:trHeight w:val="759" w:hRule="atLeast"/>
        </w:trPr>
        <w:tc>
          <w:tcPr>
            <w:tcW w:w="2176" w:type="dxa"/>
          </w:tcPr>
          <w:p>
            <w:pPr>
              <w:pStyle w:val="TableParagraph"/>
              <w:rPr>
                <w:rFonts w:ascii="Times New Roman"/>
                <w:sz w:val="24"/>
              </w:rPr>
            </w:pPr>
          </w:p>
        </w:tc>
        <w:tc>
          <w:tcPr>
            <w:tcW w:w="4394" w:type="dxa"/>
          </w:tcPr>
          <w:p>
            <w:pPr>
              <w:pStyle w:val="TableParagraph"/>
              <w:spacing w:before="122"/>
              <w:ind w:left="601" w:right="1852"/>
              <w:rPr>
                <w:sz w:val="22"/>
              </w:rPr>
            </w:pPr>
            <w:r>
              <w:rPr>
                <w:sz w:val="22"/>
              </w:rPr>
              <w:t>16 Lindeman Street Tarneit</w:t>
            </w:r>
          </w:p>
        </w:tc>
        <w:tc>
          <w:tcPr>
            <w:tcW w:w="2657" w:type="dxa"/>
          </w:tcPr>
          <w:p>
            <w:pPr>
              <w:pStyle w:val="TableParagraph"/>
              <w:spacing w:before="122"/>
              <w:ind w:left="527" w:right="827" w:hanging="1"/>
              <w:rPr>
                <w:sz w:val="22"/>
              </w:rPr>
            </w:pPr>
            <w:r>
              <w:rPr>
                <w:sz w:val="22"/>
              </w:rPr>
              <w:t>75 Fillo Drive Somerton</w:t>
            </w:r>
          </w:p>
        </w:tc>
      </w:tr>
      <w:tr>
        <w:trPr>
          <w:trHeight w:val="505" w:hRule="atLeast"/>
        </w:trPr>
        <w:tc>
          <w:tcPr>
            <w:tcW w:w="2176" w:type="dxa"/>
          </w:tcPr>
          <w:p>
            <w:pPr>
              <w:pStyle w:val="TableParagraph"/>
              <w:rPr>
                <w:rFonts w:ascii="Times New Roman"/>
                <w:sz w:val="24"/>
              </w:rPr>
            </w:pPr>
          </w:p>
        </w:tc>
        <w:tc>
          <w:tcPr>
            <w:tcW w:w="4394" w:type="dxa"/>
          </w:tcPr>
          <w:p>
            <w:pPr>
              <w:pStyle w:val="TableParagraph"/>
              <w:spacing w:before="123"/>
              <w:ind w:left="601"/>
              <w:rPr>
                <w:sz w:val="22"/>
              </w:rPr>
            </w:pPr>
            <w:r>
              <w:rPr>
                <w:sz w:val="22"/>
              </w:rPr>
              <w:t>VIC 3029</w:t>
            </w:r>
          </w:p>
        </w:tc>
        <w:tc>
          <w:tcPr>
            <w:tcW w:w="2657" w:type="dxa"/>
          </w:tcPr>
          <w:p>
            <w:pPr>
              <w:pStyle w:val="TableParagraph"/>
              <w:spacing w:before="123"/>
              <w:ind w:left="527"/>
              <w:rPr>
                <w:sz w:val="22"/>
              </w:rPr>
            </w:pPr>
            <w:r>
              <w:rPr>
                <w:sz w:val="22"/>
              </w:rPr>
              <w:t>VIC 3062</w:t>
            </w:r>
          </w:p>
        </w:tc>
      </w:tr>
      <w:tr>
        <w:trPr>
          <w:trHeight w:val="1770" w:hRule="atLeast"/>
        </w:trPr>
        <w:tc>
          <w:tcPr>
            <w:tcW w:w="2176" w:type="dxa"/>
          </w:tcPr>
          <w:p>
            <w:pPr>
              <w:pStyle w:val="TableParagraph"/>
              <w:rPr>
                <w:rFonts w:ascii="Times New Roman"/>
                <w:sz w:val="24"/>
              </w:rPr>
            </w:pPr>
          </w:p>
        </w:tc>
        <w:tc>
          <w:tcPr>
            <w:tcW w:w="4394" w:type="dxa"/>
          </w:tcPr>
          <w:p>
            <w:pPr>
              <w:pStyle w:val="TableParagraph"/>
              <w:spacing w:before="122"/>
              <w:ind w:left="600" w:right="1915"/>
              <w:rPr>
                <w:sz w:val="22"/>
              </w:rPr>
            </w:pPr>
            <w:r>
              <w:rPr>
                <w:sz w:val="22"/>
                <w:u w:val="single"/>
              </w:rPr>
              <w:t>Person in Authority</w:t>
            </w:r>
            <w:r>
              <w:rPr>
                <w:sz w:val="22"/>
              </w:rPr>
              <w:t> Dhvanil Modi</w:t>
            </w:r>
          </w:p>
        </w:tc>
        <w:tc>
          <w:tcPr>
            <w:tcW w:w="2657" w:type="dxa"/>
          </w:tcPr>
          <w:p>
            <w:pPr>
              <w:pStyle w:val="TableParagraph"/>
              <w:spacing w:before="122"/>
              <w:ind w:left="526" w:right="252"/>
              <w:rPr>
                <w:sz w:val="22"/>
              </w:rPr>
            </w:pPr>
            <w:r>
              <w:rPr>
                <w:sz w:val="22"/>
                <w:u w:val="single"/>
              </w:rPr>
              <w:t>Person in Authority</w:t>
            </w:r>
            <w:r>
              <w:rPr>
                <w:sz w:val="22"/>
              </w:rPr>
              <w:t> Jeanne Pratt Anthony Pratt Vincent O’Halloran Goran Miljanic Robert Kaye</w:t>
            </w:r>
          </w:p>
        </w:tc>
      </w:tr>
      <w:tr>
        <w:trPr>
          <w:trHeight w:val="906" w:hRule="atLeast"/>
        </w:trPr>
        <w:tc>
          <w:tcPr>
            <w:tcW w:w="2176" w:type="dxa"/>
          </w:tcPr>
          <w:p>
            <w:pPr>
              <w:pStyle w:val="TableParagraph"/>
              <w:rPr>
                <w:rFonts w:ascii="Times New Roman"/>
                <w:sz w:val="24"/>
              </w:rPr>
            </w:pPr>
          </w:p>
        </w:tc>
        <w:tc>
          <w:tcPr>
            <w:tcW w:w="4394" w:type="dxa"/>
          </w:tcPr>
          <w:p>
            <w:pPr>
              <w:pStyle w:val="TableParagraph"/>
              <w:spacing w:before="123"/>
              <w:ind w:left="600" w:right="2184"/>
              <w:rPr>
                <w:sz w:val="22"/>
              </w:rPr>
            </w:pPr>
            <w:r>
              <w:rPr>
                <w:sz w:val="22"/>
                <w:u w:val="single"/>
              </w:rPr>
              <w:t>Nominee Broker</w:t>
            </w:r>
            <w:r>
              <w:rPr>
                <w:sz w:val="22"/>
              </w:rPr>
              <w:t> Dhvanil Modi</w:t>
            </w:r>
          </w:p>
        </w:tc>
        <w:tc>
          <w:tcPr>
            <w:tcW w:w="2657" w:type="dxa"/>
          </w:tcPr>
          <w:p>
            <w:pPr>
              <w:pStyle w:val="TableParagraph"/>
              <w:spacing w:before="123"/>
              <w:ind w:left="526" w:right="521"/>
              <w:rPr>
                <w:sz w:val="22"/>
              </w:rPr>
            </w:pPr>
            <w:r>
              <w:rPr>
                <w:sz w:val="22"/>
                <w:u w:val="single"/>
              </w:rPr>
              <w:t>Nominee Broker</w:t>
            </w:r>
            <w:r>
              <w:rPr>
                <w:sz w:val="22"/>
              </w:rPr>
              <w:t> Brant Crowley</w:t>
            </w:r>
          </w:p>
          <w:p>
            <w:pPr>
              <w:pStyle w:val="TableParagraph"/>
              <w:spacing w:line="256" w:lineRule="exact" w:before="1"/>
              <w:ind w:left="526"/>
              <w:rPr>
                <w:sz w:val="24"/>
              </w:rPr>
            </w:pPr>
            <w:r>
              <w:rPr>
                <w:sz w:val="24"/>
              </w:rPr>
              <w:t>Lisa Willan</w:t>
            </w:r>
          </w:p>
        </w:tc>
      </w:tr>
    </w:tbl>
    <w:p>
      <w:pPr>
        <w:pStyle w:val="BodyText"/>
        <w:rPr>
          <w:sz w:val="20"/>
        </w:rPr>
      </w:pPr>
    </w:p>
    <w:p>
      <w:pPr>
        <w:pStyle w:val="BodyText"/>
        <w:rPr>
          <w:sz w:val="20"/>
        </w:rPr>
      </w:pPr>
    </w:p>
    <w:p>
      <w:pPr>
        <w:pStyle w:val="BodyText"/>
        <w:spacing w:before="10"/>
        <w:rPr>
          <w:sz w:val="21"/>
        </w:rPr>
      </w:pPr>
    </w:p>
    <w:p>
      <w:pPr>
        <w:pStyle w:val="BodyText"/>
        <w:spacing w:before="92"/>
        <w:ind w:left="150" w:right="583"/>
      </w:pPr>
      <w:r>
        <w:rPr/>
        <w:t>Any person wishing to make written representation in respect of any of these applicants should address the correspondence, by 28 January 2019, to:</w:t>
      </w:r>
    </w:p>
    <w:p>
      <w:pPr>
        <w:pStyle w:val="BodyText"/>
      </w:pPr>
    </w:p>
    <w:p>
      <w:pPr>
        <w:pStyle w:val="BodyText"/>
        <w:ind w:left="716"/>
      </w:pPr>
      <w:r>
        <w:rPr/>
        <w:t>Broker Licensing</w:t>
      </w:r>
    </w:p>
    <w:p>
      <w:pPr>
        <w:pStyle w:val="BodyText"/>
        <w:tabs>
          <w:tab w:pos="6476" w:val="left" w:leader="none"/>
        </w:tabs>
        <w:ind w:left="716"/>
      </w:pPr>
      <w:r>
        <w:rPr/>
        <w:t>Department of</w:t>
      </w:r>
      <w:r>
        <w:rPr>
          <w:spacing w:val="-6"/>
        </w:rPr>
        <w:t> </w:t>
      </w:r>
      <w:r>
        <w:rPr/>
        <w:t>Home</w:t>
      </w:r>
      <w:r>
        <w:rPr>
          <w:spacing w:val="-1"/>
        </w:rPr>
        <w:t> </w:t>
      </w:r>
      <w:r>
        <w:rPr/>
        <w:t>Affairs</w:t>
        <w:tab/>
        <w:t>Or</w:t>
      </w:r>
      <w:r>
        <w:rPr>
          <w:spacing w:val="-1"/>
        </w:rPr>
        <w:t> </w:t>
      </w:r>
      <w:r>
        <w:rPr/>
        <w:t>email:</w:t>
      </w:r>
    </w:p>
    <w:p>
      <w:pPr>
        <w:pStyle w:val="BodyText"/>
        <w:tabs>
          <w:tab w:pos="6476" w:val="left" w:leader="none"/>
        </w:tabs>
        <w:ind w:left="716" w:right="155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5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3"/>
        <w:ind w:left="150" w:right="10589"/>
      </w:pPr>
      <w:r>
        <w:rPr/>
        <w:t>[signed] Steve Moore</w:t>
      </w:r>
    </w:p>
    <w:p>
      <w:pPr>
        <w:pStyle w:val="BodyText"/>
        <w:spacing w:before="2"/>
        <w:ind w:left="150"/>
      </w:pPr>
      <w:r>
        <w:rPr/>
        <w:t>A/g Assistant Secretary</w:t>
      </w:r>
    </w:p>
    <w:p>
      <w:pPr>
        <w:pStyle w:val="BodyText"/>
        <w:ind w:left="150" w:right="7388"/>
      </w:pPr>
      <w:r>
        <w:rPr/>
        <w:t>Trusted Trader and Trade Services Branch CANBERRA ACT</w:t>
      </w:r>
    </w:p>
    <w:p>
      <w:pPr>
        <w:pStyle w:val="BodyText"/>
        <w:spacing w:before="11"/>
        <w:rPr>
          <w:sz w:val="23"/>
        </w:rPr>
      </w:pPr>
    </w:p>
    <w:p>
      <w:pPr>
        <w:pStyle w:val="BodyText"/>
        <w:ind w:left="150"/>
      </w:pPr>
      <w:r>
        <w:rPr/>
        <w:t>11 January 2019</w:t>
      </w:r>
    </w:p>
    <w:sectPr>
      <w:type w:val="continuous"/>
      <w:pgSz w:w="16840" w:h="23820"/>
      <w:pgMar w:top="0" w:bottom="280" w:left="230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73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Broker Licence</cp:keywords>
  <dc:title>Department of Home Affairs Notice No. 2019-01</dc:title>
  <dcterms:created xsi:type="dcterms:W3CDTF">2020-12-09T22:47:21Z</dcterms:created>
  <dcterms:modified xsi:type="dcterms:W3CDTF">2020-12-09T22:47:21Z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Acrobat PDFMaker 15 for Word</vt:lpwstr>
  </property>
  <property fmtid="{D5CDD505-2E9C-101B-9397-08002B2CF9AE}" pid="4" name="LastSaved">
    <vt:filetime>2020-12-09T00:00:00Z</vt:filetime>
  </property>
</Properties>
</file>