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line="321" w:lineRule="auto"/>
      </w:pPr>
      <w:r>
        <w:rPr/>
        <w:pict>
          <v:group style="position:absolute;margin-left:.19992pt;margin-top:-126.534798pt;width:595pt;height:116pt;mso-position-horizontal-relative:page;mso-position-vertical-relative:paragraph;z-index:15728640" coordorigin="4,-2531" coordsize="11900,2320">
            <v:shape style="position:absolute;left:4;top:-2531;width:11900;height:2320" type="#_x0000_t75" alt="Department of Home Affairs logo " stroked="false">
              <v:imagedata r:id="rId5" o:title=""/>
            </v:shape>
            <v:shape style="position:absolute;left:683;top:-1853;width:1368;height:1015" type="#_x0000_t75" stroked="false">
              <v:imagedata r:id="rId6" o:title=""/>
            </v:shape>
            <v:line style="position:absolute" from="2178,-1215" to="5102,-1215" stroked="true" strokeweight=".748351pt" strokecolor="#ffffff">
              <v:stroke dashstyle="solid"/>
            </v:line>
            <v:shapetype id="_x0000_t202" o:spt="202" coordsize="21600,21600" path="m,l,21600r21600,l21600,xe">
              <v:stroke joinstyle="miter"/>
              <v:path gradientshapeok="t" o:connecttype="rect"/>
            </v:shapetype>
            <v:shape style="position:absolute;left:4;top:-2531;width:11900;height:2320" type="#_x0000_t202" filled="false" stroked="false">
              <v:textbox inset="0,0,0,0">
                <w:txbxContent>
                  <w:p>
                    <w:pPr>
                      <w:spacing w:line="240" w:lineRule="auto" w:before="0"/>
                      <w:rPr>
                        <w:sz w:val="28"/>
                      </w:rPr>
                    </w:pPr>
                  </w:p>
                  <w:p>
                    <w:pPr>
                      <w:spacing w:line="240" w:lineRule="auto" w:before="0"/>
                      <w:rPr>
                        <w:sz w:val="28"/>
                      </w:rPr>
                    </w:pPr>
                  </w:p>
                  <w:p>
                    <w:pPr>
                      <w:spacing w:line="240" w:lineRule="auto" w:before="10"/>
                      <w:rPr>
                        <w:sz w:val="25"/>
                      </w:rPr>
                    </w:pPr>
                  </w:p>
                  <w:p>
                    <w:pPr>
                      <w:spacing w:line="369" w:lineRule="auto" w:before="0"/>
                      <w:ind w:left="2158" w:right="6077" w:firstLine="0"/>
                      <w:jc w:val="left"/>
                      <w:rPr>
                        <w:rFonts w:ascii="Times New Roman"/>
                        <w:b/>
                        <w:sz w:val="26"/>
                      </w:rPr>
                    </w:pPr>
                    <w:r>
                      <w:rPr>
                        <w:rFonts w:ascii="Times New Roman"/>
                        <w:b/>
                        <w:color w:val="FFFFFF"/>
                        <w:spacing w:val="-9"/>
                        <w:sz w:val="26"/>
                      </w:rPr>
                      <w:t>Australian </w:t>
                    </w:r>
                    <w:r>
                      <w:rPr>
                        <w:rFonts w:ascii="Times New Roman"/>
                        <w:b/>
                        <w:color w:val="FFFFFF"/>
                        <w:spacing w:val="-11"/>
                        <w:sz w:val="26"/>
                      </w:rPr>
                      <w:t>Government </w:t>
                    </w:r>
                    <w:r>
                      <w:rPr>
                        <w:rFonts w:ascii="Times New Roman"/>
                        <w:b/>
                        <w:color w:val="FFFFFF"/>
                        <w:spacing w:val="-10"/>
                        <w:sz w:val="26"/>
                      </w:rPr>
                      <w:t>Department </w:t>
                    </w:r>
                    <w:r>
                      <w:rPr>
                        <w:rFonts w:ascii="Times New Roman"/>
                        <w:b/>
                        <w:color w:val="FFFFFF"/>
                        <w:spacing w:val="-6"/>
                        <w:sz w:val="26"/>
                      </w:rPr>
                      <w:t>of </w:t>
                    </w:r>
                    <w:r>
                      <w:rPr>
                        <w:rFonts w:ascii="Times New Roman"/>
                        <w:b/>
                        <w:color w:val="FFFFFF"/>
                        <w:spacing w:val="-10"/>
                        <w:sz w:val="26"/>
                      </w:rPr>
                      <w:t>Home </w:t>
                    </w:r>
                    <w:r>
                      <w:rPr>
                        <w:rFonts w:ascii="Times New Roman"/>
                        <w:b/>
                        <w:color w:val="FFFFFF"/>
                        <w:spacing w:val="-9"/>
                        <w:sz w:val="26"/>
                      </w:rPr>
                      <w:t>Affairs</w:t>
                    </w:r>
                  </w:p>
                </w:txbxContent>
              </v:textbox>
              <w10:wrap type="none"/>
            </v:shape>
            <w10:wrap type="none"/>
          </v:group>
        </w:pict>
      </w:r>
      <w:r>
        <w:rPr>
          <w:color w:val="034EA1"/>
        </w:rPr>
        <w:t>DEPARTMENT OF HOME AFFAIRS NOTICE No. 2019/11</w:t>
      </w:r>
    </w:p>
    <w:p>
      <w:pPr>
        <w:spacing w:before="117"/>
        <w:ind w:left="767" w:right="1192" w:firstLine="0"/>
        <w:jc w:val="center"/>
        <w:rPr>
          <w:rFonts w:ascii="Arial-BoldItalicMT"/>
          <w:b/>
          <w:i/>
          <w:sz w:val="28"/>
        </w:rPr>
      </w:pPr>
      <w:r>
        <w:rPr>
          <w:b/>
          <w:sz w:val="28"/>
        </w:rPr>
        <w:t>Asbestos - changes to the </w:t>
      </w:r>
      <w:r>
        <w:rPr>
          <w:rFonts w:ascii="Arial-BoldItalicMT"/>
          <w:b/>
          <w:i/>
          <w:sz w:val="28"/>
        </w:rPr>
        <w:t>Customs (Prohibited Exports) Regulations 1958</w:t>
      </w:r>
    </w:p>
    <w:p>
      <w:pPr>
        <w:pStyle w:val="BodyText"/>
        <w:spacing w:before="7"/>
        <w:rPr>
          <w:rFonts w:ascii="Arial-BoldItalicMT"/>
          <w:b/>
          <w:i/>
          <w:sz w:val="23"/>
        </w:rPr>
      </w:pPr>
    </w:p>
    <w:p>
      <w:pPr>
        <w:pStyle w:val="BodyText"/>
        <w:ind w:left="708" w:right="1510"/>
      </w:pPr>
      <w:r>
        <w:rPr/>
        <w:t>From 26 March 2019, amendments take effect to the export prohibition for asbestos. Outdated provisions and references to repealed legislation have been removed, and the definition of asbestos for the purposes of the export prohibition has been better aligned with Australia’s domestic work, health and safety legislation.</w:t>
      </w:r>
    </w:p>
    <w:p>
      <w:pPr>
        <w:spacing w:before="122"/>
        <w:ind w:left="708" w:right="1253" w:firstLine="0"/>
        <w:jc w:val="left"/>
        <w:rPr>
          <w:sz w:val="20"/>
        </w:rPr>
      </w:pPr>
      <w:r>
        <w:rPr>
          <w:sz w:val="20"/>
        </w:rPr>
        <w:t>The exportation of asbestos, and goods containing asbestos, is controlled under Regulation 4 and Schedule 1 of the </w:t>
      </w:r>
      <w:r>
        <w:rPr>
          <w:i/>
          <w:sz w:val="20"/>
        </w:rPr>
        <w:t>Customs (Prohibited Exports) Regulations 1958 </w:t>
      </w:r>
      <w:r>
        <w:rPr>
          <w:sz w:val="20"/>
        </w:rPr>
        <w:t>(PE Regulations).</w:t>
      </w:r>
    </w:p>
    <w:p>
      <w:pPr>
        <w:pStyle w:val="BodyText"/>
        <w:spacing w:before="120"/>
        <w:ind w:left="708" w:right="1631"/>
      </w:pPr>
      <w:r>
        <w:rPr/>
        <w:t>For further information on the changes to the asbestos border control please consult the updated legislation, including the explanatory statement located at: </w:t>
      </w:r>
      <w:hyperlink r:id="rId7">
        <w:r>
          <w:rPr>
            <w:u w:val="single"/>
          </w:rPr>
          <w:t>www.legislation.gov.au</w:t>
        </w:r>
        <w:r>
          <w:rPr/>
          <w:t>.</w:t>
        </w:r>
      </w:hyperlink>
    </w:p>
    <w:p>
      <w:pPr>
        <w:pStyle w:val="BodyText"/>
        <w:spacing w:before="3"/>
        <w:rPr>
          <w:sz w:val="12"/>
        </w:rPr>
      </w:pPr>
    </w:p>
    <w:p>
      <w:pPr>
        <w:pStyle w:val="Heading1"/>
        <w:spacing w:before="93"/>
      </w:pPr>
      <w:r>
        <w:rPr/>
        <w:t>New definition of asbestos</w:t>
      </w:r>
    </w:p>
    <w:p>
      <w:pPr>
        <w:pStyle w:val="BodyText"/>
        <w:spacing w:before="149"/>
        <w:ind w:left="708" w:right="1197"/>
      </w:pPr>
      <w:r>
        <w:rPr/>
        <w:t>The definition of asbestos under the PE Regulations is amended to align with the definition of asbestos under the </w:t>
      </w:r>
      <w:r>
        <w:rPr>
          <w:i/>
        </w:rPr>
        <w:t>Work, Health and Safety Regulations 2011 </w:t>
      </w:r>
      <w:r>
        <w:rPr/>
        <w:t>(Cth). That is, </w:t>
      </w:r>
      <w:r>
        <w:rPr>
          <w:i/>
        </w:rPr>
        <w:t>asbestos </w:t>
      </w:r>
      <w:r>
        <w:rPr/>
        <w:t>means the asbestiform varieties of mineral silicates belonging to the following serpentine or amphibole groups of rock forming minerals:</w:t>
      </w:r>
    </w:p>
    <w:p>
      <w:pPr>
        <w:pStyle w:val="ListParagraph"/>
        <w:numPr>
          <w:ilvl w:val="0"/>
          <w:numId w:val="1"/>
        </w:numPr>
        <w:tabs>
          <w:tab w:pos="1421" w:val="left" w:leader="none"/>
          <w:tab w:pos="1422" w:val="left" w:leader="none"/>
        </w:tabs>
        <w:spacing w:line="240" w:lineRule="auto" w:before="131" w:after="0"/>
        <w:ind w:left="1421" w:right="0" w:hanging="357"/>
        <w:jc w:val="left"/>
        <w:rPr>
          <w:sz w:val="20"/>
        </w:rPr>
      </w:pPr>
      <w:r>
        <w:rPr>
          <w:sz w:val="20"/>
        </w:rPr>
        <w:t>actinolite</w:t>
      </w:r>
      <w:r>
        <w:rPr>
          <w:spacing w:val="-2"/>
          <w:sz w:val="20"/>
        </w:rPr>
        <w:t> </w:t>
      </w:r>
      <w:r>
        <w:rPr>
          <w:sz w:val="20"/>
        </w:rPr>
        <w:t>asbestos;</w:t>
      </w:r>
    </w:p>
    <w:p>
      <w:pPr>
        <w:pStyle w:val="ListParagraph"/>
        <w:numPr>
          <w:ilvl w:val="0"/>
          <w:numId w:val="1"/>
        </w:numPr>
        <w:tabs>
          <w:tab w:pos="1421" w:val="left" w:leader="none"/>
          <w:tab w:pos="1422" w:val="left" w:leader="none"/>
        </w:tabs>
        <w:spacing w:line="240" w:lineRule="auto" w:before="135" w:after="0"/>
        <w:ind w:left="1421" w:right="0" w:hanging="357"/>
        <w:jc w:val="left"/>
        <w:rPr>
          <w:sz w:val="20"/>
        </w:rPr>
      </w:pPr>
      <w:r>
        <w:rPr>
          <w:sz w:val="20"/>
        </w:rPr>
        <w:t>grunerite (or amosite) asbestos</w:t>
      </w:r>
      <w:r>
        <w:rPr>
          <w:spacing w:val="-4"/>
          <w:sz w:val="20"/>
        </w:rPr>
        <w:t> </w:t>
      </w:r>
      <w:r>
        <w:rPr>
          <w:sz w:val="20"/>
        </w:rPr>
        <w:t>(brown);</w:t>
      </w:r>
    </w:p>
    <w:p>
      <w:pPr>
        <w:pStyle w:val="ListParagraph"/>
        <w:numPr>
          <w:ilvl w:val="0"/>
          <w:numId w:val="1"/>
        </w:numPr>
        <w:tabs>
          <w:tab w:pos="1421" w:val="left" w:leader="none"/>
          <w:tab w:pos="1422" w:val="left" w:leader="none"/>
        </w:tabs>
        <w:spacing w:line="240" w:lineRule="auto" w:before="132" w:after="0"/>
        <w:ind w:left="1421" w:right="0" w:hanging="357"/>
        <w:jc w:val="left"/>
        <w:rPr>
          <w:sz w:val="20"/>
        </w:rPr>
      </w:pPr>
      <w:r>
        <w:rPr>
          <w:sz w:val="20"/>
        </w:rPr>
        <w:t>anthophyllite</w:t>
      </w:r>
      <w:r>
        <w:rPr>
          <w:spacing w:val="-2"/>
          <w:sz w:val="20"/>
        </w:rPr>
        <w:t> </w:t>
      </w:r>
      <w:r>
        <w:rPr>
          <w:sz w:val="20"/>
        </w:rPr>
        <w:t>asbestos;</w:t>
      </w:r>
    </w:p>
    <w:p>
      <w:pPr>
        <w:pStyle w:val="ListParagraph"/>
        <w:numPr>
          <w:ilvl w:val="0"/>
          <w:numId w:val="1"/>
        </w:numPr>
        <w:tabs>
          <w:tab w:pos="1421" w:val="left" w:leader="none"/>
          <w:tab w:pos="1422" w:val="left" w:leader="none"/>
        </w:tabs>
        <w:spacing w:line="240" w:lineRule="auto" w:before="136" w:after="0"/>
        <w:ind w:left="1421" w:right="0" w:hanging="357"/>
        <w:jc w:val="left"/>
        <w:rPr>
          <w:sz w:val="20"/>
        </w:rPr>
      </w:pPr>
      <w:r>
        <w:rPr>
          <w:sz w:val="20"/>
        </w:rPr>
        <w:t>chrysotile asbestos</w:t>
      </w:r>
      <w:r>
        <w:rPr>
          <w:spacing w:val="-11"/>
          <w:sz w:val="20"/>
        </w:rPr>
        <w:t> </w:t>
      </w:r>
      <w:r>
        <w:rPr>
          <w:sz w:val="20"/>
        </w:rPr>
        <w:t>(white);</w:t>
      </w:r>
    </w:p>
    <w:p>
      <w:pPr>
        <w:pStyle w:val="ListParagraph"/>
        <w:numPr>
          <w:ilvl w:val="0"/>
          <w:numId w:val="1"/>
        </w:numPr>
        <w:tabs>
          <w:tab w:pos="1421" w:val="left" w:leader="none"/>
          <w:tab w:pos="1422" w:val="left" w:leader="none"/>
        </w:tabs>
        <w:spacing w:line="240" w:lineRule="auto" w:before="132" w:after="0"/>
        <w:ind w:left="1421" w:right="0" w:hanging="357"/>
        <w:jc w:val="left"/>
        <w:rPr>
          <w:sz w:val="20"/>
        </w:rPr>
      </w:pPr>
      <w:r>
        <w:rPr>
          <w:sz w:val="20"/>
        </w:rPr>
        <w:t>crocidolite asbestos</w:t>
      </w:r>
      <w:r>
        <w:rPr>
          <w:spacing w:val="-11"/>
          <w:sz w:val="20"/>
        </w:rPr>
        <w:t> </w:t>
      </w:r>
      <w:r>
        <w:rPr>
          <w:sz w:val="20"/>
        </w:rPr>
        <w:t>(blue);</w:t>
      </w:r>
    </w:p>
    <w:p>
      <w:pPr>
        <w:pStyle w:val="ListParagraph"/>
        <w:numPr>
          <w:ilvl w:val="0"/>
          <w:numId w:val="1"/>
        </w:numPr>
        <w:tabs>
          <w:tab w:pos="1421" w:val="left" w:leader="none"/>
          <w:tab w:pos="1422" w:val="left" w:leader="none"/>
        </w:tabs>
        <w:spacing w:line="240" w:lineRule="auto" w:before="132" w:after="0"/>
        <w:ind w:left="1421" w:right="0" w:hanging="357"/>
        <w:jc w:val="left"/>
        <w:rPr>
          <w:sz w:val="20"/>
        </w:rPr>
      </w:pPr>
      <w:r>
        <w:rPr>
          <w:sz w:val="20"/>
        </w:rPr>
        <w:t>tremolite asbestos;</w:t>
      </w:r>
      <w:r>
        <w:rPr>
          <w:spacing w:val="-2"/>
          <w:sz w:val="20"/>
        </w:rPr>
        <w:t> </w:t>
      </w:r>
      <w:r>
        <w:rPr>
          <w:sz w:val="20"/>
        </w:rPr>
        <w:t>or</w:t>
      </w:r>
    </w:p>
    <w:p>
      <w:pPr>
        <w:pStyle w:val="ListParagraph"/>
        <w:numPr>
          <w:ilvl w:val="0"/>
          <w:numId w:val="1"/>
        </w:numPr>
        <w:tabs>
          <w:tab w:pos="1421" w:val="left" w:leader="none"/>
          <w:tab w:pos="1422" w:val="left" w:leader="none"/>
        </w:tabs>
        <w:spacing w:line="240" w:lineRule="auto" w:before="135" w:after="0"/>
        <w:ind w:left="1421" w:right="0" w:hanging="357"/>
        <w:jc w:val="left"/>
        <w:rPr>
          <w:sz w:val="20"/>
        </w:rPr>
      </w:pPr>
      <w:r>
        <w:rPr>
          <w:sz w:val="20"/>
        </w:rPr>
        <w:t>a mixture that contains one or more of the minerals referred</w:t>
      </w:r>
      <w:r>
        <w:rPr>
          <w:spacing w:val="-3"/>
          <w:sz w:val="20"/>
        </w:rPr>
        <w:t> </w:t>
      </w:r>
      <w:r>
        <w:rPr>
          <w:sz w:val="20"/>
        </w:rPr>
        <w:t>above.</w:t>
      </w:r>
    </w:p>
    <w:p>
      <w:pPr>
        <w:pStyle w:val="BodyText"/>
        <w:spacing w:before="121"/>
        <w:ind w:left="708"/>
      </w:pPr>
      <w:r>
        <w:rPr/>
        <w:t>As a result, only asbestiform asbestos is controlled at the border.</w:t>
      </w:r>
    </w:p>
    <w:p>
      <w:pPr>
        <w:pStyle w:val="BodyText"/>
        <w:spacing w:before="120"/>
        <w:ind w:left="708" w:right="1521"/>
      </w:pPr>
      <w:r>
        <w:rPr/>
        <w:t>Laboratory reports from testing undertaken overseas that list a mineral silicate of the same name as in the list above must demonstrate that the mineral identified is of a non-asbestiform variety.</w:t>
      </w:r>
    </w:p>
    <w:p>
      <w:pPr>
        <w:pStyle w:val="BodyText"/>
        <w:spacing w:before="6"/>
      </w:pPr>
    </w:p>
    <w:p>
      <w:pPr>
        <w:pStyle w:val="Heading1"/>
      </w:pPr>
      <w:r>
        <w:rPr/>
        <w:t>Amendments to the export prohibition</w:t>
      </w:r>
    </w:p>
    <w:p>
      <w:pPr>
        <w:pStyle w:val="BodyText"/>
        <w:spacing w:before="147"/>
        <w:ind w:left="708" w:right="1765"/>
      </w:pPr>
      <w:r>
        <w:rPr/>
        <w:t>The amendments have removed provisions which previously enabled the Safety, Rehabilitation and Compensation Commission, and the Seafarers Safety, Rehabilitation and Compensation Authority to issue exemptions to the asbestos export prohibition.</w:t>
      </w:r>
    </w:p>
    <w:p>
      <w:pPr>
        <w:pStyle w:val="BodyText"/>
        <w:spacing w:before="122"/>
        <w:ind w:left="708" w:right="1287"/>
      </w:pPr>
      <w:r>
        <w:rPr/>
        <w:t>The amendments empower the Minister to grant permission to export asbestos, and goods containing asbestos, from certain Australian external Territories to the mainland, to enable disposal in a state or territory.</w:t>
      </w:r>
    </w:p>
    <w:p>
      <w:pPr>
        <w:pStyle w:val="ListParagraph"/>
        <w:numPr>
          <w:ilvl w:val="0"/>
          <w:numId w:val="1"/>
        </w:numPr>
        <w:tabs>
          <w:tab w:pos="1428" w:val="left" w:leader="none"/>
          <w:tab w:pos="1429" w:val="left" w:leader="none"/>
        </w:tabs>
        <w:spacing w:line="240" w:lineRule="auto" w:before="130" w:after="0"/>
        <w:ind w:left="1428" w:right="1164" w:hanging="361"/>
        <w:jc w:val="left"/>
        <w:rPr>
          <w:sz w:val="20"/>
        </w:rPr>
      </w:pPr>
      <w:r>
        <w:rPr>
          <w:sz w:val="20"/>
        </w:rPr>
        <w:t>Asbestos intended to be shipped from Norfolk Island, Christmas Island and Cocos (Keeling) Islands to the mainland requires an </w:t>
      </w:r>
      <w:r>
        <w:rPr>
          <w:b/>
          <w:sz w:val="20"/>
        </w:rPr>
        <w:t>export permission </w:t>
      </w:r>
      <w:r>
        <w:rPr>
          <w:sz w:val="20"/>
        </w:rPr>
        <w:t>for the asbestos to leave the external Territory in addition to an </w:t>
      </w:r>
      <w:r>
        <w:rPr>
          <w:b/>
          <w:sz w:val="20"/>
        </w:rPr>
        <w:t>import permission </w:t>
      </w:r>
      <w:r>
        <w:rPr>
          <w:sz w:val="20"/>
        </w:rPr>
        <w:t>for the mainland. These territories are subject to customs ordinances which extend the application of the </w:t>
      </w:r>
      <w:r>
        <w:rPr>
          <w:i/>
          <w:sz w:val="20"/>
        </w:rPr>
        <w:t>Customs Act 1901 </w:t>
      </w:r>
      <w:r>
        <w:rPr>
          <w:sz w:val="20"/>
        </w:rPr>
        <w:t>and associated</w:t>
      </w:r>
      <w:r>
        <w:rPr>
          <w:spacing w:val="-1"/>
          <w:sz w:val="20"/>
        </w:rPr>
        <w:t> </w:t>
      </w:r>
      <w:r>
        <w:rPr>
          <w:sz w:val="20"/>
        </w:rPr>
        <w:t>regulations.</w:t>
      </w:r>
    </w:p>
    <w:p>
      <w:pPr>
        <w:pStyle w:val="ListParagraph"/>
        <w:numPr>
          <w:ilvl w:val="0"/>
          <w:numId w:val="1"/>
        </w:numPr>
        <w:tabs>
          <w:tab w:pos="1428" w:val="left" w:leader="none"/>
          <w:tab w:pos="1429" w:val="left" w:leader="none"/>
        </w:tabs>
        <w:spacing w:line="242" w:lineRule="auto" w:before="134" w:after="0"/>
        <w:ind w:left="1428" w:right="1332" w:hanging="361"/>
        <w:jc w:val="left"/>
        <w:rPr>
          <w:sz w:val="20"/>
        </w:rPr>
      </w:pPr>
      <w:r>
        <w:rPr>
          <w:sz w:val="20"/>
        </w:rPr>
        <w:t>Other external Territories have various arrangements, and asbestos exportation will be controlled</w:t>
      </w:r>
      <w:r>
        <w:rPr>
          <w:spacing w:val="-23"/>
          <w:sz w:val="20"/>
        </w:rPr>
        <w:t> </w:t>
      </w:r>
      <w:r>
        <w:rPr>
          <w:sz w:val="20"/>
        </w:rPr>
        <w:t>within those existing</w:t>
      </w:r>
      <w:r>
        <w:rPr>
          <w:spacing w:val="-3"/>
          <w:sz w:val="20"/>
        </w:rPr>
        <w:t> </w:t>
      </w:r>
      <w:r>
        <w:rPr>
          <w:sz w:val="20"/>
        </w:rPr>
        <w:t>frameworks.</w:t>
      </w:r>
    </w:p>
    <w:p>
      <w:pPr>
        <w:spacing w:after="0" w:line="242" w:lineRule="auto"/>
        <w:jc w:val="left"/>
        <w:rPr>
          <w:sz w:val="20"/>
        </w:rPr>
        <w:sectPr>
          <w:type w:val="continuous"/>
          <w:pgSz w:w="11910" w:h="16840"/>
          <w:pgMar w:top="0" w:bottom="280" w:left="0" w:right="0"/>
        </w:sectPr>
      </w:pPr>
    </w:p>
    <w:p>
      <w:pPr>
        <w:pStyle w:val="Heading1"/>
        <w:spacing w:before="78"/>
      </w:pPr>
      <w:r>
        <w:rPr/>
        <w:t>General requirements of a Ministerial permission to export</w:t>
      </w:r>
    </w:p>
    <w:p>
      <w:pPr>
        <w:spacing w:before="147"/>
        <w:ind w:left="708" w:right="1510" w:firstLine="0"/>
        <w:jc w:val="left"/>
        <w:rPr>
          <w:sz w:val="20"/>
        </w:rPr>
      </w:pPr>
      <w:r>
        <w:rPr>
          <w:sz w:val="20"/>
        </w:rPr>
        <w:t>Ministerial permission to export asbestos, or goods containing asbestos, must be sought from the Minister administering the </w:t>
      </w:r>
      <w:r>
        <w:rPr>
          <w:i/>
          <w:sz w:val="20"/>
        </w:rPr>
        <w:t>Work, Health and Safety Act 2011 </w:t>
      </w:r>
      <w:r>
        <w:rPr>
          <w:sz w:val="20"/>
        </w:rPr>
        <w:t>(Cth).</w:t>
      </w:r>
    </w:p>
    <w:p>
      <w:pPr>
        <w:pStyle w:val="ListParagraph"/>
        <w:numPr>
          <w:ilvl w:val="0"/>
          <w:numId w:val="1"/>
        </w:numPr>
        <w:tabs>
          <w:tab w:pos="1428" w:val="left" w:leader="none"/>
          <w:tab w:pos="1429" w:val="left" w:leader="none"/>
        </w:tabs>
        <w:spacing w:line="242" w:lineRule="auto" w:before="133" w:after="0"/>
        <w:ind w:left="1428" w:right="1243" w:hanging="361"/>
        <w:jc w:val="left"/>
        <w:rPr>
          <w:sz w:val="20"/>
        </w:rPr>
      </w:pPr>
      <w:r>
        <w:rPr>
          <w:sz w:val="20"/>
        </w:rPr>
        <w:t>An export permission will be subject to conditions or requirements to be complied with by a person</w:t>
      </w:r>
      <w:r>
        <w:rPr>
          <w:spacing w:val="-31"/>
          <w:sz w:val="20"/>
        </w:rPr>
        <w:t> </w:t>
      </w:r>
      <w:r>
        <w:rPr>
          <w:sz w:val="20"/>
        </w:rPr>
        <w:t>either before or after the</w:t>
      </w:r>
      <w:r>
        <w:rPr>
          <w:spacing w:val="-3"/>
          <w:sz w:val="20"/>
        </w:rPr>
        <w:t> </w:t>
      </w:r>
      <w:r>
        <w:rPr>
          <w:sz w:val="20"/>
        </w:rPr>
        <w:t>exportation.</w:t>
      </w:r>
    </w:p>
    <w:p>
      <w:pPr>
        <w:pStyle w:val="ListParagraph"/>
        <w:numPr>
          <w:ilvl w:val="0"/>
          <w:numId w:val="1"/>
        </w:numPr>
        <w:tabs>
          <w:tab w:pos="1428" w:val="left" w:leader="none"/>
          <w:tab w:pos="1429" w:val="left" w:leader="none"/>
        </w:tabs>
        <w:spacing w:line="240" w:lineRule="auto" w:before="128" w:after="0"/>
        <w:ind w:left="1428" w:right="0" w:hanging="361"/>
        <w:jc w:val="left"/>
        <w:rPr>
          <w:sz w:val="20"/>
        </w:rPr>
      </w:pPr>
      <w:r>
        <w:rPr>
          <w:sz w:val="20"/>
        </w:rPr>
        <w:t>A copy of the permission must be produced if requested by the Australian Border</w:t>
      </w:r>
      <w:r>
        <w:rPr>
          <w:spacing w:val="-12"/>
          <w:sz w:val="20"/>
        </w:rPr>
        <w:t> </w:t>
      </w:r>
      <w:r>
        <w:rPr>
          <w:sz w:val="20"/>
        </w:rPr>
        <w:t>Force.</w:t>
      </w:r>
    </w:p>
    <w:p>
      <w:pPr>
        <w:pStyle w:val="ListParagraph"/>
        <w:numPr>
          <w:ilvl w:val="0"/>
          <w:numId w:val="1"/>
        </w:numPr>
        <w:tabs>
          <w:tab w:pos="1428" w:val="left" w:leader="none"/>
          <w:tab w:pos="1429" w:val="left" w:leader="none"/>
        </w:tabs>
        <w:spacing w:line="240" w:lineRule="auto" w:before="135" w:after="0"/>
        <w:ind w:left="1428" w:right="1753" w:hanging="361"/>
        <w:jc w:val="left"/>
        <w:rPr>
          <w:sz w:val="20"/>
        </w:rPr>
      </w:pPr>
      <w:r>
        <w:rPr>
          <w:sz w:val="20"/>
        </w:rPr>
        <w:t>Information about applying for Ministerial export permission is available at the Asbestos Safety and Eradication Agency (Cth) website:</w:t>
      </w:r>
      <w:r>
        <w:rPr>
          <w:spacing w:val="-1"/>
          <w:sz w:val="20"/>
        </w:rPr>
        <w:t> </w:t>
      </w:r>
      <w:hyperlink r:id="rId8">
        <w:r>
          <w:rPr>
            <w:sz w:val="20"/>
            <w:u w:val="single"/>
          </w:rPr>
          <w:t>www.asbestossafety.gov.au</w:t>
        </w:r>
        <w:r>
          <w:rPr>
            <w:sz w:val="20"/>
          </w:rPr>
          <w:t>.</w:t>
        </w:r>
      </w:hyperlink>
    </w:p>
    <w:p>
      <w:pPr>
        <w:pStyle w:val="BodyText"/>
        <w:spacing w:before="121"/>
        <w:ind w:left="708"/>
      </w:pPr>
      <w:r>
        <w:rPr/>
        <w:t>Information about the border controls for asbestos is available at the ABF website: </w:t>
      </w:r>
      <w:hyperlink r:id="rId9">
        <w:r>
          <w:rPr>
            <w:u w:val="single"/>
          </w:rPr>
          <w:t>www.abf.gov.au/asbestos</w:t>
        </w:r>
        <w:r>
          <w:rPr/>
          <w:t>.</w:t>
        </w:r>
      </w:hyperlink>
    </w:p>
    <w:p>
      <w:pPr>
        <w:pStyle w:val="BodyText"/>
        <w:spacing w:before="5"/>
        <w:rPr>
          <w:sz w:val="22"/>
        </w:rPr>
      </w:pPr>
    </w:p>
    <w:p>
      <w:pPr>
        <w:pStyle w:val="BodyText"/>
        <w:spacing w:before="92"/>
        <w:ind w:left="708"/>
      </w:pPr>
      <w:r>
        <w:rPr/>
        <w:t>[signed]</w:t>
      </w:r>
    </w:p>
    <w:p>
      <w:pPr>
        <w:pStyle w:val="BodyText"/>
        <w:spacing w:before="10"/>
        <w:rPr>
          <w:sz w:val="19"/>
        </w:rPr>
      </w:pPr>
    </w:p>
    <w:p>
      <w:pPr>
        <w:pStyle w:val="BodyText"/>
        <w:ind w:left="708" w:right="9425"/>
      </w:pPr>
      <w:r>
        <w:rPr/>
        <w:t>Matthew Duckworth Assistant Secretary</w:t>
      </w:r>
    </w:p>
    <w:p>
      <w:pPr>
        <w:pStyle w:val="BodyText"/>
        <w:spacing w:line="480" w:lineRule="auto" w:before="1"/>
        <w:ind w:left="708" w:right="7802"/>
      </w:pPr>
      <w:r>
        <w:rPr/>
        <w:t>Customs and Border Revenue Branch 25 March 2019</w:t>
      </w:r>
    </w:p>
    <w:sectPr>
      <w:pgSz w:w="11910" w:h="16840"/>
      <w:pgMar w:top="9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28" w:hanging="356"/>
      </w:pPr>
      <w:rPr>
        <w:rFonts w:hint="default" w:ascii="Arial" w:hAnsi="Arial" w:eastAsia="Arial" w:cs="Arial"/>
        <w:w w:val="130"/>
        <w:sz w:val="20"/>
        <w:szCs w:val="20"/>
        <w:lang w:val="en-au" w:eastAsia="en-US" w:bidi="ar-SA"/>
      </w:rPr>
    </w:lvl>
    <w:lvl w:ilvl="1">
      <w:start w:val="0"/>
      <w:numFmt w:val="bullet"/>
      <w:lvlText w:val="•"/>
      <w:lvlJc w:val="left"/>
      <w:pPr>
        <w:ind w:left="2468" w:hanging="356"/>
      </w:pPr>
      <w:rPr>
        <w:rFonts w:hint="default"/>
        <w:lang w:val="en-au" w:eastAsia="en-US" w:bidi="ar-SA"/>
      </w:rPr>
    </w:lvl>
    <w:lvl w:ilvl="2">
      <w:start w:val="0"/>
      <w:numFmt w:val="bullet"/>
      <w:lvlText w:val="•"/>
      <w:lvlJc w:val="left"/>
      <w:pPr>
        <w:ind w:left="3517" w:hanging="356"/>
      </w:pPr>
      <w:rPr>
        <w:rFonts w:hint="default"/>
        <w:lang w:val="en-au" w:eastAsia="en-US" w:bidi="ar-SA"/>
      </w:rPr>
    </w:lvl>
    <w:lvl w:ilvl="3">
      <w:start w:val="0"/>
      <w:numFmt w:val="bullet"/>
      <w:lvlText w:val="•"/>
      <w:lvlJc w:val="left"/>
      <w:pPr>
        <w:ind w:left="4565" w:hanging="356"/>
      </w:pPr>
      <w:rPr>
        <w:rFonts w:hint="default"/>
        <w:lang w:val="en-au" w:eastAsia="en-US" w:bidi="ar-SA"/>
      </w:rPr>
    </w:lvl>
    <w:lvl w:ilvl="4">
      <w:start w:val="0"/>
      <w:numFmt w:val="bullet"/>
      <w:lvlText w:val="•"/>
      <w:lvlJc w:val="left"/>
      <w:pPr>
        <w:ind w:left="5614" w:hanging="356"/>
      </w:pPr>
      <w:rPr>
        <w:rFonts w:hint="default"/>
        <w:lang w:val="en-au" w:eastAsia="en-US" w:bidi="ar-SA"/>
      </w:rPr>
    </w:lvl>
    <w:lvl w:ilvl="5">
      <w:start w:val="0"/>
      <w:numFmt w:val="bullet"/>
      <w:lvlText w:val="•"/>
      <w:lvlJc w:val="left"/>
      <w:pPr>
        <w:ind w:left="6663" w:hanging="356"/>
      </w:pPr>
      <w:rPr>
        <w:rFonts w:hint="default"/>
        <w:lang w:val="en-au" w:eastAsia="en-US" w:bidi="ar-SA"/>
      </w:rPr>
    </w:lvl>
    <w:lvl w:ilvl="6">
      <w:start w:val="0"/>
      <w:numFmt w:val="bullet"/>
      <w:lvlText w:val="•"/>
      <w:lvlJc w:val="left"/>
      <w:pPr>
        <w:ind w:left="7711" w:hanging="356"/>
      </w:pPr>
      <w:rPr>
        <w:rFonts w:hint="default"/>
        <w:lang w:val="en-au" w:eastAsia="en-US" w:bidi="ar-SA"/>
      </w:rPr>
    </w:lvl>
    <w:lvl w:ilvl="7">
      <w:start w:val="0"/>
      <w:numFmt w:val="bullet"/>
      <w:lvlText w:val="•"/>
      <w:lvlJc w:val="left"/>
      <w:pPr>
        <w:ind w:left="8760" w:hanging="356"/>
      </w:pPr>
      <w:rPr>
        <w:rFonts w:hint="default"/>
        <w:lang w:val="en-au" w:eastAsia="en-US" w:bidi="ar-SA"/>
      </w:rPr>
    </w:lvl>
    <w:lvl w:ilvl="8">
      <w:start w:val="0"/>
      <w:numFmt w:val="bullet"/>
      <w:lvlText w:val="•"/>
      <w:lvlJc w:val="left"/>
      <w:pPr>
        <w:ind w:left="9809" w:hanging="356"/>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708"/>
      <w:outlineLvl w:val="1"/>
    </w:pPr>
    <w:rPr>
      <w:rFonts w:ascii="Arial" w:hAnsi="Arial" w:eastAsia="Arial" w:cs="Arial"/>
      <w:b/>
      <w:bCs/>
      <w:sz w:val="20"/>
      <w:szCs w:val="20"/>
      <w:lang w:val="en-au" w:eastAsia="en-US" w:bidi="ar-SA"/>
    </w:rPr>
  </w:style>
  <w:style w:styleId="Title" w:type="paragraph">
    <w:name w:val="Title"/>
    <w:basedOn w:val="Normal"/>
    <w:uiPriority w:val="1"/>
    <w:qFormat/>
    <w:pPr>
      <w:spacing w:before="219"/>
      <w:ind w:left="1214" w:right="1646"/>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2"/>
      <w:ind w:left="1421" w:hanging="357"/>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legislation.gov.au/" TargetMode="External"/><Relationship Id="rId8" Type="http://schemas.openxmlformats.org/officeDocument/2006/relationships/hyperlink" Target="http://www.asbestossafety.gov.au/" TargetMode="External"/><Relationship Id="rId9" Type="http://schemas.openxmlformats.org/officeDocument/2006/relationships/hyperlink" Target="http://www.abf.gov.au/asbestos"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Asbestos border export changes amendments 2019-11</cp:keywords>
  <dc:subject>Regulatory changes to the export border control for asbestos</dc:subject>
  <dc:title>Department of Home Affairs Notice 2019-11 - Asbestos - changes to the Customs Prohibited Exports Regulations</dc:title>
  <dcterms:created xsi:type="dcterms:W3CDTF">2020-12-09T22:36:45Z</dcterms:created>
  <dcterms:modified xsi:type="dcterms:W3CDTF">2020-12-09T22:36:45Z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2019-03-26T00:00:00Z</vt:filetime>
  </property>
  <property fmtid="{D5CDD505-2E9C-101B-9397-08002B2CF9AE}" pid="3" name="Creator">
    <vt:lpwstr>Microsoft® Word 2016</vt:lpwstr>
  </property>
  <property fmtid="{D5CDD505-2E9C-101B-9397-08002B2CF9AE}" pid="4" name="LastSaved">
    <vt:filetime>2020-12-09T00:00:00Z</vt:filetime>
  </property>
</Properties>
</file>