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-2049122</wp:posOffset>
            </wp:positionV>
            <wp:extent cx="7559675" cy="2048367"/>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67"/>
                    </a:xfrm>
                    <a:prstGeom prst="rect">
                      <a:avLst/>
                    </a:prstGeom>
                  </pic:spPr>
                </pic:pic>
              </a:graphicData>
            </a:graphic>
          </wp:anchor>
        </w:drawing>
      </w:r>
      <w:r>
        <w:rPr>
          <w:color w:val="082144"/>
        </w:rPr>
        <w:t>Australian Customs Notice No. 2019/33</w:t>
      </w:r>
    </w:p>
    <w:p>
      <w:pPr>
        <w:pStyle w:val="Heading1"/>
        <w:spacing w:before="118"/>
        <w:ind w:right="2885"/>
        <w:jc w:val="center"/>
      </w:pPr>
      <w:r>
        <w:rPr>
          <w:color w:val="956D23"/>
        </w:rPr>
        <w:t>Amendments to Schedule 4 to the</w:t>
      </w:r>
    </w:p>
    <w:p>
      <w:pPr>
        <w:spacing w:before="4"/>
        <w:ind w:left="2859" w:right="2885" w:firstLine="0"/>
        <w:jc w:val="center"/>
        <w:rPr>
          <w:rFonts w:ascii="Arial"/>
          <w:i/>
          <w:sz w:val="40"/>
        </w:rPr>
      </w:pPr>
      <w:r>
        <w:rPr>
          <w:rFonts w:ascii="Arial"/>
          <w:i/>
          <w:color w:val="956D23"/>
          <w:sz w:val="40"/>
        </w:rPr>
        <w:t>Customs Tariff Act 1995</w:t>
      </w:r>
    </w:p>
    <w:p>
      <w:pPr>
        <w:pStyle w:val="Heading2"/>
        <w:spacing w:before="240"/>
        <w:ind w:left="1116"/>
        <w:jc w:val="left"/>
      </w:pPr>
      <w:r>
        <w:rPr>
          <w:color w:val="956D23"/>
        </w:rPr>
        <w:t>Item 14 – Goods for use in a petroleum activity in the Timor Sea</w:t>
      </w:r>
    </w:p>
    <w:p>
      <w:pPr>
        <w:spacing w:line="264" w:lineRule="auto" w:before="179"/>
        <w:ind w:left="1133" w:right="1618" w:firstLine="0"/>
        <w:jc w:val="left"/>
        <w:rPr>
          <w:rFonts w:ascii="Arial" w:hAnsi="Arial"/>
          <w:sz w:val="20"/>
        </w:rPr>
      </w:pPr>
      <w:r>
        <w:rPr>
          <w:rFonts w:ascii="Arial" w:hAnsi="Arial"/>
          <w:sz w:val="20"/>
        </w:rPr>
        <w:t>Item 14 of Schedule 4 provides a ‘Free’ rate of duty for goods prescribed by by-law for use in petroleum activities within specified areas of the Timor Sea.</w:t>
      </w:r>
    </w:p>
    <w:p>
      <w:pPr>
        <w:spacing w:line="266" w:lineRule="auto" w:before="176"/>
        <w:ind w:left="1133" w:right="1312" w:firstLine="0"/>
        <w:jc w:val="left"/>
        <w:rPr>
          <w:rFonts w:ascii="Arial" w:hAnsi="Arial"/>
          <w:sz w:val="20"/>
        </w:rPr>
      </w:pPr>
      <w:r>
        <w:rPr>
          <w:rFonts w:ascii="Arial" w:hAnsi="Arial"/>
          <w:sz w:val="20"/>
        </w:rPr>
        <w:t>The </w:t>
      </w:r>
      <w:r>
        <w:rPr>
          <w:rFonts w:ascii="Arial" w:hAnsi="Arial"/>
          <w:i/>
          <w:sz w:val="20"/>
        </w:rPr>
        <w:t>Timor Sea Maritime Boundaries Treaty Consequential Amendments Act 2019 </w:t>
      </w:r>
      <w:r>
        <w:rPr>
          <w:rFonts w:ascii="Arial" w:hAnsi="Arial"/>
          <w:sz w:val="20"/>
        </w:rPr>
        <w:t>amends the areas of the Timor Sea to which Item 14 applies and the definition of ‘petroleum activity’. As a consequence, Customs Tariff By-law No. 1300532 will be revoked and replaced with Customs Tariff By-law No. 1900564. The new by-law commenced on 30 August 2019.</w:t>
      </w:r>
    </w:p>
    <w:p>
      <w:pPr>
        <w:spacing w:before="116"/>
        <w:ind w:left="1133" w:right="1181" w:firstLine="0"/>
        <w:jc w:val="left"/>
        <w:rPr>
          <w:rFonts w:ascii="Arial"/>
          <w:sz w:val="20"/>
        </w:rPr>
      </w:pPr>
      <w:r>
        <w:rPr>
          <w:rFonts w:ascii="Arial"/>
          <w:sz w:val="20"/>
        </w:rPr>
        <w:t>The revised text of Item 14 and the text of By-law No. 1900564 will be made available on the Online Tariff on the Australian Border Force website: </w:t>
      </w:r>
      <w:hyperlink r:id="rId6">
        <w:r>
          <w:rPr>
            <w:rFonts w:ascii="Arial"/>
            <w:color w:val="082144"/>
            <w:sz w:val="20"/>
            <w:u w:val="single" w:color="082144"/>
          </w:rPr>
          <w:t>https://www.abf.gov.au/importing-exporting-and-manufacturing/tariff-</w:t>
        </w:r>
      </w:hyperlink>
      <w:r>
        <w:rPr>
          <w:rFonts w:ascii="Arial"/>
          <w:color w:val="082144"/>
          <w:sz w:val="20"/>
        </w:rPr>
        <w:t> </w:t>
      </w:r>
      <w:hyperlink r:id="rId6">
        <w:r>
          <w:rPr>
            <w:rFonts w:ascii="Arial"/>
            <w:color w:val="082144"/>
            <w:sz w:val="20"/>
            <w:u w:val="single" w:color="082144"/>
          </w:rPr>
          <w:t>classification/current-tariff/schedule-4</w:t>
        </w:r>
        <w:r>
          <w:rPr>
            <w:rFonts w:ascii="Arial"/>
            <w:sz w:val="20"/>
          </w:rPr>
          <w:t>. </w:t>
        </w:r>
      </w:hyperlink>
      <w:r>
        <w:rPr>
          <w:rFonts w:ascii="Arial"/>
          <w:sz w:val="20"/>
        </w:rPr>
        <w:t>Revised Customs Tariff Working Pages are at </w:t>
      </w:r>
      <w:r>
        <w:rPr>
          <w:rFonts w:ascii="Arial"/>
          <w:sz w:val="20"/>
          <w:u w:val="single"/>
        </w:rPr>
        <w:t>Attachment A</w:t>
      </w:r>
      <w:r>
        <w:rPr>
          <w:rFonts w:ascii="Arial"/>
          <w:sz w:val="20"/>
        </w:rPr>
        <w:t>.</w:t>
      </w:r>
    </w:p>
    <w:p>
      <w:pPr>
        <w:pStyle w:val="BodyText"/>
        <w:spacing w:before="10"/>
        <w:rPr>
          <w:rFonts w:ascii="Arial"/>
          <w:b w:val="0"/>
        </w:rPr>
      </w:pPr>
    </w:p>
    <w:p>
      <w:pPr>
        <w:pStyle w:val="Heading2"/>
        <w:spacing w:before="0"/>
        <w:ind w:left="1116"/>
        <w:jc w:val="left"/>
      </w:pPr>
      <w:r>
        <w:rPr>
          <w:color w:val="956D23"/>
        </w:rPr>
        <w:t>Item 41 – Goods for use in space projects</w:t>
      </w:r>
    </w:p>
    <w:p>
      <w:pPr>
        <w:spacing w:line="264" w:lineRule="auto" w:before="180"/>
        <w:ind w:left="1133" w:right="1296" w:firstLine="0"/>
        <w:jc w:val="left"/>
        <w:rPr>
          <w:rFonts w:ascii="Arial" w:hAnsi="Arial"/>
          <w:sz w:val="20"/>
        </w:rPr>
      </w:pPr>
      <w:r>
        <w:rPr>
          <w:rFonts w:ascii="Arial" w:hAnsi="Arial"/>
          <w:sz w:val="20"/>
        </w:rPr>
        <w:t>Item 41 of Schedule 4 provides a ‘Free’ rate of duty for goods prescribed by by-law for use in an authorised space project.</w:t>
      </w:r>
    </w:p>
    <w:p>
      <w:pPr>
        <w:spacing w:line="264" w:lineRule="auto" w:before="175"/>
        <w:ind w:left="1133" w:right="1362" w:firstLine="0"/>
        <w:jc w:val="left"/>
        <w:rPr>
          <w:rFonts w:ascii="Arial" w:hAnsi="Arial"/>
          <w:sz w:val="20"/>
        </w:rPr>
      </w:pPr>
      <w:r>
        <w:rPr>
          <w:rFonts w:ascii="Arial" w:hAnsi="Arial"/>
          <w:sz w:val="20"/>
        </w:rPr>
        <w:t>The </w:t>
      </w:r>
      <w:r>
        <w:rPr>
          <w:rFonts w:ascii="Arial" w:hAnsi="Arial"/>
          <w:i/>
          <w:sz w:val="20"/>
        </w:rPr>
        <w:t>Space Activities Amendments (Launches and Returns) Act 2018</w:t>
      </w:r>
      <w:r>
        <w:rPr>
          <w:rFonts w:ascii="Arial" w:hAnsi="Arial"/>
          <w:sz w:val="20"/>
        </w:rPr>
        <w:t>, amends Item 41 to repeal the reference to </w:t>
      </w:r>
      <w:r>
        <w:rPr>
          <w:rFonts w:ascii="Arial" w:hAnsi="Arial"/>
          <w:i/>
          <w:sz w:val="20"/>
        </w:rPr>
        <w:t>‘Space Activities Act 1998’ </w:t>
      </w:r>
      <w:r>
        <w:rPr>
          <w:rFonts w:ascii="Arial" w:hAnsi="Arial"/>
          <w:sz w:val="20"/>
        </w:rPr>
        <w:t>and replaces it with a reference to </w:t>
      </w:r>
      <w:r>
        <w:rPr>
          <w:rFonts w:ascii="Arial" w:hAnsi="Arial"/>
          <w:i/>
          <w:sz w:val="20"/>
        </w:rPr>
        <w:t>‘Space (Launches and Returns) Act 2018</w:t>
      </w:r>
      <w:r>
        <w:rPr>
          <w:rFonts w:ascii="Arial" w:hAnsi="Arial"/>
          <w:sz w:val="20"/>
        </w:rPr>
        <w:t>. This amendment commenced on 1 September 2019.</w:t>
      </w:r>
    </w:p>
    <w:p>
      <w:pPr>
        <w:spacing w:line="264" w:lineRule="auto" w:before="184"/>
        <w:ind w:left="1133" w:right="1207" w:firstLine="0"/>
        <w:jc w:val="left"/>
        <w:rPr>
          <w:rFonts w:ascii="Arial"/>
          <w:sz w:val="20"/>
        </w:rPr>
      </w:pPr>
      <w:r>
        <w:rPr>
          <w:rFonts w:ascii="Arial"/>
          <w:sz w:val="20"/>
        </w:rPr>
        <w:t>Item 41 is administered by the Department of Industry, Innovation and Science. Further information about this item is available on the AusIndustry website: </w:t>
      </w:r>
      <w:hyperlink r:id="rId7">
        <w:r>
          <w:rPr>
            <w:rFonts w:ascii="Arial"/>
            <w:color w:val="082144"/>
            <w:sz w:val="20"/>
            <w:u w:val="single" w:color="082144"/>
          </w:rPr>
          <w:t>https://www.business.gov.au/assistance/space-concession</w:t>
        </w:r>
      </w:hyperlink>
    </w:p>
    <w:p>
      <w:pPr>
        <w:spacing w:line="264" w:lineRule="auto" w:before="178"/>
        <w:ind w:left="1133" w:right="1860" w:firstLine="0"/>
        <w:jc w:val="left"/>
        <w:rPr>
          <w:rFonts w:ascii="Arial"/>
          <w:sz w:val="20"/>
        </w:rPr>
      </w:pPr>
      <w:r>
        <w:rPr>
          <w:rFonts w:ascii="Arial"/>
          <w:sz w:val="20"/>
        </w:rPr>
        <w:t>The revised text of Item 41 will be made available on the Online Tariff on the Australian Border Force website: </w:t>
      </w:r>
      <w:hyperlink r:id="rId6">
        <w:r>
          <w:rPr>
            <w:rFonts w:ascii="Arial"/>
            <w:color w:val="082144"/>
            <w:sz w:val="20"/>
            <w:u w:val="single" w:color="082144"/>
          </w:rPr>
          <w:t>https://www.abf.gov.au/importing-exporting-and-manufacturing/tariff-classification/current-</w:t>
        </w:r>
      </w:hyperlink>
      <w:r>
        <w:rPr>
          <w:rFonts w:ascii="Arial"/>
          <w:color w:val="082144"/>
          <w:sz w:val="20"/>
        </w:rPr>
        <w:t> </w:t>
      </w:r>
      <w:hyperlink r:id="rId6">
        <w:r>
          <w:rPr>
            <w:rFonts w:ascii="Arial"/>
            <w:color w:val="082144"/>
            <w:sz w:val="20"/>
            <w:u w:val="single" w:color="082144"/>
          </w:rPr>
          <w:t>tariff/schedule-4</w:t>
        </w:r>
        <w:r>
          <w:rPr>
            <w:rFonts w:ascii="Arial"/>
            <w:sz w:val="20"/>
          </w:rPr>
          <w:t>. </w:t>
        </w:r>
      </w:hyperlink>
      <w:r>
        <w:rPr>
          <w:rFonts w:ascii="Arial"/>
          <w:sz w:val="20"/>
        </w:rPr>
        <w:t>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6"/>
        <w:rPr>
          <w:rFonts w:ascii="Arial"/>
          <w:b w:val="0"/>
          <w:sz w:val="16"/>
        </w:rPr>
      </w:pPr>
    </w:p>
    <w:p>
      <w:pPr>
        <w:spacing w:before="93"/>
        <w:ind w:left="1133" w:right="9500" w:firstLine="0"/>
        <w:jc w:val="left"/>
        <w:rPr>
          <w:rFonts w:ascii="Arial"/>
          <w:sz w:val="20"/>
        </w:rPr>
      </w:pPr>
      <w:r>
        <w:rPr>
          <w:rFonts w:ascii="Arial"/>
          <w:sz w:val="20"/>
        </w:rPr>
        <w:t>[Signed] Suzanne Ford</w:t>
      </w:r>
    </w:p>
    <w:p>
      <w:pPr>
        <w:spacing w:before="80"/>
        <w:ind w:left="1133" w:right="0" w:firstLine="0"/>
        <w:jc w:val="left"/>
        <w:rPr>
          <w:rFonts w:ascii="Arial"/>
          <w:sz w:val="20"/>
        </w:rPr>
      </w:pPr>
      <w:r>
        <w:rPr>
          <w:rFonts w:ascii="Arial"/>
          <w:sz w:val="20"/>
        </w:rPr>
        <w:t>A/g Assistant Secretary</w:t>
      </w:r>
    </w:p>
    <w:p>
      <w:pPr>
        <w:spacing w:line="304" w:lineRule="auto" w:before="0"/>
        <w:ind w:left="1133" w:right="7377" w:firstLine="0"/>
        <w:jc w:val="left"/>
        <w:rPr>
          <w:rFonts w:ascii="Arial"/>
          <w:sz w:val="20"/>
        </w:rPr>
      </w:pPr>
      <w:r>
        <w:rPr>
          <w:rFonts w:ascii="Arial"/>
          <w:sz w:val="20"/>
        </w:rPr>
        <w:t>Customs and Border Revenue Branch 27 August 2019</w:t>
      </w:r>
    </w:p>
    <w:p>
      <w:pPr>
        <w:pStyle w:val="BodyText"/>
        <w:rPr>
          <w:rFonts w:ascii="Arial"/>
          <w:b w:val="0"/>
        </w:rPr>
      </w:pPr>
    </w:p>
    <w:p>
      <w:pPr>
        <w:pStyle w:val="BodyText"/>
        <w:rPr>
          <w:rFonts w:ascii="Arial"/>
          <w:b w:val="0"/>
        </w:rPr>
      </w:pPr>
    </w:p>
    <w:p>
      <w:pPr>
        <w:pStyle w:val="BodyText"/>
        <w:spacing w:before="3"/>
        <w:rPr>
          <w:rFonts w:ascii="Arial"/>
          <w:b w:val="0"/>
          <w:sz w:val="16"/>
        </w:rPr>
      </w:pPr>
    </w:p>
    <w:p>
      <w:pPr>
        <w:tabs>
          <w:tab w:pos="4364" w:val="left" w:leader="none"/>
          <w:tab w:pos="11908" w:val="left" w:leader="none"/>
        </w:tabs>
        <w:spacing w:before="93"/>
        <w:ind w:left="0" w:right="-15" w:firstLine="0"/>
        <w:jc w:val="left"/>
        <w:rPr>
          <w:rFonts w:ascii="Arial-BoldItalicMT" w:hAnsi="Arial-BoldItalicMT"/>
          <w:b/>
          <w:i/>
          <w:sz w:val="24"/>
        </w:rPr>
      </w:pPr>
      <w:r>
        <w:rPr>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rPr>
          <w:rFonts w:ascii="Arial-BoldItalicMT"/>
          <w:i/>
        </w:rPr>
      </w:pPr>
    </w:p>
    <w:p>
      <w:pPr>
        <w:pStyle w:val="BodyText"/>
        <w:rPr>
          <w:rFonts w:ascii="Arial-BoldItalicMT"/>
          <w:i/>
        </w:rPr>
      </w:pPr>
    </w:p>
    <w:p>
      <w:pPr>
        <w:pStyle w:val="BodyText"/>
        <w:spacing w:before="2"/>
        <w:rPr>
          <w:rFonts w:ascii="Arial-BoldItalicMT"/>
          <w:i/>
          <w:sz w:val="18"/>
        </w:rPr>
      </w:pPr>
    </w:p>
    <w:p>
      <w:pPr>
        <w:pStyle w:val="Heading1"/>
        <w:spacing w:line="364" w:lineRule="auto"/>
        <w:ind w:left="3793" w:firstLine="4577"/>
      </w:pPr>
      <w:r>
        <w:rPr/>
        <w:pict>
          <v:rect style="position:absolute;margin-left:0pt;margin-top:-45.36021pt;width:595.320pt;height:25pt;mso-position-horizontal-relative:page;mso-position-vertical-relative:paragraph;z-index:15729152" filled="true" fillcolor="#082144" stroked="false">
            <v:fill type="solid"/>
            <w10:wrap type="none"/>
          </v:rect>
        </w:pict>
      </w:r>
      <w:r>
        <w:rPr>
          <w:color w:val="956D23"/>
        </w:rPr>
        <w:t>Attachment </w:t>
      </w:r>
      <w:r>
        <w:rPr>
          <w:color w:val="956D23"/>
          <w:spacing w:val="-16"/>
        </w:rPr>
        <w:t>A </w:t>
      </w:r>
      <w:r>
        <w:rPr>
          <w:color w:val="956D23"/>
        </w:rPr>
        <w:t>Revised Customs Tariff Working</w:t>
      </w:r>
      <w:r>
        <w:rPr>
          <w:color w:val="956D23"/>
          <w:spacing w:val="-9"/>
        </w:rPr>
        <w:t> </w:t>
      </w:r>
      <w:r>
        <w:rPr>
          <w:color w:val="956D23"/>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rPr>
      </w:pPr>
    </w:p>
    <w:p>
      <w:pPr>
        <w:spacing w:before="0"/>
        <w:ind w:left="0" w:right="1132"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2</w:t>
      </w:r>
    </w:p>
    <w:p>
      <w:pPr>
        <w:spacing w:after="0"/>
        <w:jc w:val="right"/>
        <w:rPr>
          <w:rFonts w:ascii="Arial"/>
          <w:sz w:val="14"/>
        </w:rPr>
        <w:sectPr>
          <w:pgSz w:w="11910" w:h="16840"/>
          <w:pgMar w:top="1140" w:bottom="280" w:left="0" w:right="0"/>
        </w:sectPr>
      </w:pPr>
    </w:p>
    <w:p>
      <w:pPr>
        <w:pStyle w:val="BodyText"/>
        <w:tabs>
          <w:tab w:pos="2239" w:val="left" w:leader="none"/>
        </w:tabs>
        <w:spacing w:line="208" w:lineRule="auto" w:before="58"/>
        <w:ind w:left="2239" w:hanging="567"/>
      </w:pPr>
      <w:r>
        <w:rPr/>
        <w:t>Item</w:t>
        <w:tab/>
      </w:r>
      <w:r>
        <w:rPr>
          <w:w w:val="95"/>
        </w:rPr>
        <w:t>Treat- </w:t>
      </w:r>
      <w:r>
        <w:rPr/>
        <w:t>ment Code</w:t>
      </w:r>
    </w:p>
    <w:p>
      <w:pPr>
        <w:pStyle w:val="BodyText"/>
        <w:spacing w:line="208" w:lineRule="auto" w:before="58"/>
        <w:ind w:left="215"/>
      </w:pPr>
      <w:r>
        <w:rPr>
          <w:b w:val="0"/>
        </w:rPr>
        <w:br w:type="column"/>
      </w:r>
      <w:r>
        <w:rPr/>
        <w:t>Refer- ence </w:t>
      </w:r>
      <w:r>
        <w:rPr>
          <w:w w:val="95"/>
        </w:rPr>
        <w:t>Number</w:t>
      </w:r>
    </w:p>
    <w:p>
      <w:pPr>
        <w:pStyle w:val="BodyText"/>
        <w:spacing w:line="208" w:lineRule="auto" w:before="58"/>
        <w:ind w:left="332"/>
        <w:jc w:val="both"/>
      </w:pPr>
      <w:r>
        <w:rPr>
          <w:b w:val="0"/>
        </w:rPr>
        <w:br w:type="column"/>
      </w:r>
      <w:r>
        <w:rPr/>
        <w:t>Statistical Code/Unit of Quantity</w:t>
      </w:r>
    </w:p>
    <w:p>
      <w:pPr>
        <w:pStyle w:val="BodyText"/>
        <w:spacing w:before="4"/>
      </w:pPr>
      <w:r>
        <w:rPr>
          <w:b w:val="0"/>
        </w:rPr>
        <w:br w:type="column"/>
      </w:r>
      <w:r>
        <w:rPr/>
      </w:r>
    </w:p>
    <w:p>
      <w:pPr>
        <w:pStyle w:val="BodyText"/>
        <w:tabs>
          <w:tab w:pos="5045" w:val="left" w:leader="none"/>
        </w:tabs>
        <w:spacing w:before="1"/>
        <w:ind w:left="1673"/>
      </w:pPr>
      <w:r>
        <w:rPr/>
        <w:t>Description</w:t>
      </w:r>
      <w:r>
        <w:rPr>
          <w:spacing w:val="-2"/>
        </w:rPr>
        <w:t> </w:t>
      </w:r>
      <w:r>
        <w:rPr/>
        <w:t>of</w:t>
      </w:r>
      <w:r>
        <w:rPr>
          <w:spacing w:val="-1"/>
        </w:rPr>
        <w:t> </w:t>
      </w:r>
      <w:r>
        <w:rPr/>
        <w:t>Goods</w:t>
        <w:tab/>
        <w:t>Rate of duty</w:t>
      </w:r>
      <w:r>
        <w:rPr>
          <w:spacing w:val="-3"/>
        </w:rPr>
        <w:t> </w:t>
      </w:r>
      <w:r>
        <w:rPr/>
        <w:t>#</w:t>
      </w:r>
    </w:p>
    <w:p>
      <w:pPr>
        <w:spacing w:after="0"/>
        <w:sectPr>
          <w:headerReference w:type="default" r:id="rId8"/>
          <w:footerReference w:type="default" r:id="rId9"/>
          <w:pgSz w:w="11910" w:h="16850"/>
          <w:pgMar w:header="704" w:footer="2074" w:top="2160" w:bottom="2260" w:left="0" w:right="0"/>
          <w:cols w:num="4" w:equalWidth="0">
            <w:col w:w="2695" w:space="40"/>
            <w:col w:w="835" w:space="39"/>
            <w:col w:w="1200" w:space="78"/>
            <w:col w:w="7023"/>
          </w:cols>
        </w:sectPr>
      </w:pPr>
    </w:p>
    <w:p>
      <w:pPr>
        <w:pStyle w:val="BodyText"/>
        <w:spacing w:before="4"/>
        <w:rPr>
          <w:sz w:val="3"/>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
        <w:gridCol w:w="517"/>
        <w:gridCol w:w="1253"/>
        <w:gridCol w:w="824"/>
        <w:gridCol w:w="5026"/>
        <w:gridCol w:w="1482"/>
      </w:tblGrid>
      <w:tr>
        <w:trPr>
          <w:trHeight w:val="779" w:hRule="atLeast"/>
        </w:trPr>
        <w:tc>
          <w:tcPr>
            <w:tcW w:w="506" w:type="dxa"/>
            <w:tcBorders>
              <w:top w:val="single" w:sz="6" w:space="0" w:color="000000"/>
            </w:tcBorders>
          </w:tcPr>
          <w:p>
            <w:pPr>
              <w:pStyle w:val="TableParagraph"/>
              <w:rPr>
                <w:sz w:val="20"/>
              </w:rPr>
            </w:pPr>
          </w:p>
        </w:tc>
        <w:tc>
          <w:tcPr>
            <w:tcW w:w="517" w:type="dxa"/>
            <w:tcBorders>
              <w:top w:val="single" w:sz="6" w:space="0" w:color="000000"/>
            </w:tcBorders>
          </w:tcPr>
          <w:p>
            <w:pPr>
              <w:pStyle w:val="TableParagraph"/>
              <w:rPr>
                <w:sz w:val="20"/>
              </w:rPr>
            </w:pPr>
          </w:p>
        </w:tc>
        <w:tc>
          <w:tcPr>
            <w:tcW w:w="1253" w:type="dxa"/>
            <w:tcBorders>
              <w:top w:val="single" w:sz="6" w:space="0" w:color="000000"/>
            </w:tcBorders>
          </w:tcPr>
          <w:p>
            <w:pPr>
              <w:pStyle w:val="TableParagraph"/>
              <w:rPr>
                <w:sz w:val="20"/>
              </w:rPr>
            </w:pPr>
          </w:p>
        </w:tc>
        <w:tc>
          <w:tcPr>
            <w:tcW w:w="824" w:type="dxa"/>
            <w:tcBorders>
              <w:top w:val="single" w:sz="6" w:space="0" w:color="000000"/>
            </w:tcBorders>
          </w:tcPr>
          <w:p>
            <w:pPr>
              <w:pStyle w:val="TableParagraph"/>
              <w:rPr>
                <w:sz w:val="20"/>
              </w:rPr>
            </w:pPr>
          </w:p>
        </w:tc>
        <w:tc>
          <w:tcPr>
            <w:tcW w:w="5026" w:type="dxa"/>
            <w:tcBorders>
              <w:top w:val="single" w:sz="6" w:space="0" w:color="000000"/>
            </w:tcBorders>
          </w:tcPr>
          <w:p>
            <w:pPr>
              <w:pStyle w:val="TableParagraph"/>
              <w:spacing w:line="208" w:lineRule="auto" w:before="186"/>
              <w:ind w:left="142" w:right="317"/>
              <w:rPr>
                <w:b/>
                <w:sz w:val="24"/>
              </w:rPr>
            </w:pPr>
            <w:r>
              <w:rPr>
                <w:b/>
                <w:sz w:val="24"/>
                <w:u w:val="thick"/>
              </w:rPr>
              <w:t>Goods for international bodies or persons or</w:t>
            </w:r>
            <w:r>
              <w:rPr>
                <w:b/>
                <w:sz w:val="24"/>
              </w:rPr>
              <w:t> </w:t>
            </w:r>
            <w:r>
              <w:rPr>
                <w:b/>
                <w:sz w:val="24"/>
                <w:u w:val="thick"/>
              </w:rPr>
              <w:t>goods relating to offshore areas</w:t>
            </w:r>
          </w:p>
        </w:tc>
        <w:tc>
          <w:tcPr>
            <w:tcW w:w="1482" w:type="dxa"/>
            <w:tcBorders>
              <w:top w:val="single" w:sz="6" w:space="0" w:color="000000"/>
            </w:tcBorders>
          </w:tcPr>
          <w:p>
            <w:pPr>
              <w:pStyle w:val="TableParagraph"/>
              <w:rPr>
                <w:sz w:val="20"/>
              </w:rPr>
            </w:pPr>
          </w:p>
        </w:tc>
      </w:tr>
      <w:tr>
        <w:trPr>
          <w:trHeight w:val="2397" w:hRule="atLeast"/>
        </w:trPr>
        <w:tc>
          <w:tcPr>
            <w:tcW w:w="506" w:type="dxa"/>
          </w:tcPr>
          <w:p>
            <w:pPr>
              <w:pStyle w:val="TableParagraph"/>
              <w:rPr>
                <w:rFonts w:ascii="Arial Narrow"/>
                <w:b/>
                <w:sz w:val="22"/>
              </w:rPr>
            </w:pPr>
          </w:p>
          <w:p>
            <w:pPr>
              <w:pStyle w:val="TableParagraph"/>
              <w:spacing w:before="7"/>
              <w:rPr>
                <w:rFonts w:ascii="Arial Narrow"/>
                <w:b/>
                <w:sz w:val="19"/>
              </w:rPr>
            </w:pPr>
          </w:p>
          <w:p>
            <w:pPr>
              <w:pStyle w:val="TableParagraph"/>
              <w:ind w:left="122"/>
              <w:rPr>
                <w:b/>
                <w:sz w:val="20"/>
              </w:rPr>
            </w:pPr>
            <w:r>
              <w:rPr>
                <w:b/>
                <w:w w:val="99"/>
                <w:sz w:val="20"/>
              </w:rPr>
              <w:t>9</w:t>
            </w:r>
          </w:p>
        </w:tc>
        <w:tc>
          <w:tcPr>
            <w:tcW w:w="517" w:type="dxa"/>
          </w:tcPr>
          <w:p>
            <w:pPr>
              <w:pStyle w:val="TableParagraph"/>
              <w:rPr>
                <w:rFonts w:ascii="Arial Narrow"/>
                <w:b/>
                <w:sz w:val="22"/>
              </w:rPr>
            </w:pPr>
          </w:p>
          <w:p>
            <w:pPr>
              <w:pStyle w:val="TableParagraph"/>
              <w:spacing w:before="7"/>
              <w:rPr>
                <w:rFonts w:ascii="Arial Narrow"/>
                <w:b/>
                <w:sz w:val="19"/>
              </w:rPr>
            </w:pPr>
          </w:p>
          <w:p>
            <w:pPr>
              <w:pStyle w:val="TableParagraph"/>
              <w:ind w:left="182"/>
              <w:rPr>
                <w:sz w:val="20"/>
              </w:rPr>
            </w:pPr>
            <w:r>
              <w:rPr>
                <w:sz w:val="20"/>
              </w:rPr>
              <w:t>..</w:t>
            </w:r>
          </w:p>
        </w:tc>
        <w:tc>
          <w:tcPr>
            <w:tcW w:w="1253" w:type="dxa"/>
          </w:tcPr>
          <w:p>
            <w:pPr>
              <w:pStyle w:val="TableParagraph"/>
              <w:rPr>
                <w:rFonts w:ascii="Arial Narrow"/>
                <w:b/>
                <w:sz w:val="22"/>
              </w:rPr>
            </w:pPr>
          </w:p>
          <w:p>
            <w:pPr>
              <w:pStyle w:val="TableParagraph"/>
              <w:spacing w:before="7"/>
              <w:rPr>
                <w:rFonts w:ascii="Arial Narrow"/>
                <w:b/>
                <w:sz w:val="19"/>
              </w:rPr>
            </w:pPr>
          </w:p>
          <w:p>
            <w:pPr>
              <w:pStyle w:val="TableParagraph"/>
              <w:ind w:right="112"/>
              <w:jc w:val="right"/>
              <w:rPr>
                <w:sz w:val="20"/>
              </w:rPr>
            </w:pPr>
            <w:r>
              <w:rPr>
                <w:sz w:val="20"/>
              </w:rPr>
              <w:t>9999.30.09</w:t>
            </w:r>
          </w:p>
        </w:tc>
        <w:tc>
          <w:tcPr>
            <w:tcW w:w="824" w:type="dxa"/>
          </w:tcPr>
          <w:p>
            <w:pPr>
              <w:pStyle w:val="TableParagraph"/>
              <w:rPr>
                <w:rFonts w:ascii="Arial Narrow"/>
                <w:b/>
                <w:sz w:val="22"/>
              </w:rPr>
            </w:pPr>
          </w:p>
          <w:p>
            <w:pPr>
              <w:pStyle w:val="TableParagraph"/>
              <w:spacing w:before="7"/>
              <w:rPr>
                <w:rFonts w:ascii="Arial Narrow"/>
                <w:b/>
                <w:sz w:val="19"/>
              </w:rPr>
            </w:pPr>
          </w:p>
          <w:p>
            <w:pPr>
              <w:pStyle w:val="TableParagraph"/>
              <w:tabs>
                <w:tab w:pos="580" w:val="left" w:leader="none"/>
              </w:tabs>
              <w:ind w:left="114"/>
              <w:rPr>
                <w:i/>
                <w:sz w:val="20"/>
              </w:rPr>
            </w:pPr>
            <w:r>
              <w:rPr>
                <w:i/>
                <w:sz w:val="20"/>
              </w:rPr>
              <w:t>03</w:t>
              <w:tab/>
              <w:t>..</w:t>
            </w:r>
          </w:p>
        </w:tc>
        <w:tc>
          <w:tcPr>
            <w:tcW w:w="5026" w:type="dxa"/>
          </w:tcPr>
          <w:p>
            <w:pPr>
              <w:pStyle w:val="TableParagraph"/>
              <w:spacing w:line="396" w:lineRule="auto" w:before="97"/>
              <w:ind w:left="142" w:right="887"/>
              <w:rPr>
                <w:b/>
                <w:sz w:val="20"/>
              </w:rPr>
            </w:pPr>
            <w:r>
              <w:rPr>
                <w:b/>
                <w:sz w:val="20"/>
                <w:u w:val="single"/>
              </w:rPr>
              <w:t>Item 9 – Goods for international organisations</w:t>
            </w:r>
            <w:r>
              <w:rPr>
                <w:b/>
                <w:sz w:val="20"/>
              </w:rPr>
              <w:t> Goods, as prescribed by by-law, that:</w:t>
            </w:r>
          </w:p>
          <w:p>
            <w:pPr>
              <w:pStyle w:val="TableParagraph"/>
              <w:numPr>
                <w:ilvl w:val="0"/>
                <w:numId w:val="1"/>
              </w:numPr>
              <w:tabs>
                <w:tab w:pos="427" w:val="left" w:leader="none"/>
              </w:tabs>
              <w:spacing w:line="199" w:lineRule="auto" w:before="31" w:after="0"/>
              <w:ind w:left="426" w:right="265" w:hanging="284"/>
              <w:jc w:val="left"/>
              <w:rPr>
                <w:b/>
                <w:sz w:val="20"/>
              </w:rPr>
            </w:pPr>
            <w:r>
              <w:rPr>
                <w:b/>
                <w:sz w:val="20"/>
              </w:rPr>
              <w:t>for the official use of an international organisation established by agreement between the</w:t>
            </w:r>
            <w:r>
              <w:rPr>
                <w:b/>
                <w:spacing w:val="-24"/>
                <w:sz w:val="20"/>
              </w:rPr>
              <w:t> </w:t>
            </w:r>
            <w:r>
              <w:rPr>
                <w:b/>
                <w:sz w:val="20"/>
              </w:rPr>
              <w:t>Government of Australia and the government of another country or other countries; or</w:t>
            </w:r>
          </w:p>
          <w:p>
            <w:pPr>
              <w:pStyle w:val="TableParagraph"/>
              <w:numPr>
                <w:ilvl w:val="0"/>
                <w:numId w:val="1"/>
              </w:numPr>
              <w:tabs>
                <w:tab w:pos="427" w:val="left" w:leader="none"/>
              </w:tabs>
              <w:spacing w:line="196" w:lineRule="auto" w:before="187" w:after="0"/>
              <w:ind w:left="426" w:right="260" w:hanging="284"/>
              <w:jc w:val="left"/>
              <w:rPr>
                <w:b/>
                <w:sz w:val="20"/>
              </w:rPr>
            </w:pPr>
            <w:r>
              <w:rPr>
                <w:b/>
                <w:sz w:val="20"/>
              </w:rPr>
              <w:t>for the official or personal use of an official of such an international</w:t>
            </w:r>
            <w:r>
              <w:rPr>
                <w:b/>
                <w:spacing w:val="-3"/>
                <w:sz w:val="20"/>
              </w:rPr>
              <w:t> </w:t>
            </w:r>
            <w:r>
              <w:rPr>
                <w:b/>
                <w:sz w:val="20"/>
              </w:rPr>
              <w:t>organisation</w:t>
            </w:r>
          </w:p>
        </w:tc>
        <w:tc>
          <w:tcPr>
            <w:tcW w:w="1482" w:type="dxa"/>
          </w:tcPr>
          <w:p>
            <w:pPr>
              <w:pStyle w:val="TableParagraph"/>
              <w:rPr>
                <w:rFonts w:ascii="Arial Narrow"/>
                <w:b/>
                <w:sz w:val="22"/>
              </w:rPr>
            </w:pPr>
          </w:p>
          <w:p>
            <w:pPr>
              <w:pStyle w:val="TableParagraph"/>
              <w:spacing w:before="7"/>
              <w:rPr>
                <w:rFonts w:ascii="Arial Narrow"/>
                <w:b/>
                <w:sz w:val="19"/>
              </w:rPr>
            </w:pPr>
          </w:p>
          <w:p>
            <w:pPr>
              <w:pStyle w:val="TableParagraph"/>
              <w:ind w:left="253"/>
              <w:rPr>
                <w:b/>
                <w:sz w:val="20"/>
              </w:rPr>
            </w:pPr>
            <w:r>
              <w:rPr>
                <w:b/>
                <w:sz w:val="20"/>
              </w:rPr>
              <w:t>Free</w:t>
            </w:r>
          </w:p>
        </w:tc>
      </w:tr>
      <w:tr>
        <w:trPr>
          <w:trHeight w:val="2275" w:hRule="atLeast"/>
        </w:trPr>
        <w:tc>
          <w:tcPr>
            <w:tcW w:w="506"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sz w:val="20"/>
              </w:rPr>
              <w:t>10</w:t>
            </w:r>
          </w:p>
        </w:tc>
        <w:tc>
          <w:tcPr>
            <w:tcW w:w="517"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2"/>
              <w:rPr>
                <w:sz w:val="20"/>
              </w:rPr>
            </w:pPr>
            <w:r>
              <w:rPr>
                <w:sz w:val="20"/>
              </w:rPr>
              <w:t>..</w:t>
            </w:r>
          </w:p>
        </w:tc>
        <w:tc>
          <w:tcPr>
            <w:tcW w:w="1253"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12"/>
              <w:jc w:val="right"/>
              <w:rPr>
                <w:sz w:val="20"/>
              </w:rPr>
            </w:pPr>
            <w:r>
              <w:rPr>
                <w:sz w:val="20"/>
              </w:rPr>
              <w:t>9999.30.10</w:t>
            </w:r>
          </w:p>
        </w:tc>
        <w:tc>
          <w:tcPr>
            <w:tcW w:w="824" w:type="dxa"/>
          </w:tcPr>
          <w:p>
            <w:pPr>
              <w:pStyle w:val="TableParagraph"/>
              <w:rPr>
                <w:rFonts w:ascii="Arial Narrow"/>
                <w:b/>
                <w:sz w:val="22"/>
              </w:rPr>
            </w:pPr>
          </w:p>
          <w:p>
            <w:pPr>
              <w:pStyle w:val="TableParagraph"/>
              <w:spacing w:before="6"/>
              <w:rPr>
                <w:rFonts w:ascii="Arial Narrow"/>
                <w:b/>
                <w:sz w:val="25"/>
              </w:rPr>
            </w:pPr>
          </w:p>
          <w:p>
            <w:pPr>
              <w:pStyle w:val="TableParagraph"/>
              <w:tabs>
                <w:tab w:pos="580" w:val="left" w:leader="none"/>
              </w:tabs>
              <w:spacing w:before="1"/>
              <w:ind w:left="114"/>
              <w:rPr>
                <w:i/>
                <w:sz w:val="20"/>
              </w:rPr>
            </w:pPr>
            <w:r>
              <w:rPr>
                <w:i/>
                <w:sz w:val="20"/>
              </w:rPr>
              <w:t>04</w:t>
              <w:tab/>
              <w:t>..</w:t>
            </w:r>
          </w:p>
        </w:tc>
        <w:tc>
          <w:tcPr>
            <w:tcW w:w="5026" w:type="dxa"/>
          </w:tcPr>
          <w:p>
            <w:pPr>
              <w:pStyle w:val="TableParagraph"/>
              <w:spacing w:line="396" w:lineRule="auto" w:before="165"/>
              <w:ind w:left="142" w:right="887"/>
              <w:rPr>
                <w:b/>
                <w:sz w:val="20"/>
              </w:rPr>
            </w:pPr>
            <w:r>
              <w:rPr>
                <w:b/>
                <w:sz w:val="20"/>
                <w:u w:val="single"/>
              </w:rPr>
              <w:t>Item 10 – Goods of foreign governments</w:t>
            </w:r>
            <w:r>
              <w:rPr>
                <w:b/>
                <w:sz w:val="20"/>
              </w:rPr>
              <w:t> Goods, as prescribed by by-law, that:</w:t>
            </w:r>
          </w:p>
          <w:p>
            <w:pPr>
              <w:pStyle w:val="TableParagraph"/>
              <w:numPr>
                <w:ilvl w:val="0"/>
                <w:numId w:val="2"/>
              </w:numPr>
              <w:tabs>
                <w:tab w:pos="427" w:val="left" w:leader="none"/>
              </w:tabs>
              <w:spacing w:line="196" w:lineRule="auto" w:before="33" w:after="0"/>
              <w:ind w:left="426" w:right="369" w:hanging="284"/>
              <w:jc w:val="left"/>
              <w:rPr>
                <w:b/>
                <w:sz w:val="20"/>
              </w:rPr>
            </w:pPr>
            <w:r>
              <w:rPr>
                <w:b/>
                <w:sz w:val="20"/>
              </w:rPr>
              <w:t>at the time they are entered for home consumption, are owned by the government of a foreign country and are for the official use of that government;</w:t>
            </w:r>
            <w:r>
              <w:rPr>
                <w:b/>
                <w:spacing w:val="-1"/>
                <w:sz w:val="20"/>
              </w:rPr>
              <w:t> </w:t>
            </w:r>
            <w:r>
              <w:rPr>
                <w:b/>
                <w:sz w:val="20"/>
              </w:rPr>
              <w:t>and</w:t>
            </w:r>
          </w:p>
          <w:p>
            <w:pPr>
              <w:pStyle w:val="TableParagraph"/>
              <w:numPr>
                <w:ilvl w:val="0"/>
                <w:numId w:val="2"/>
              </w:numPr>
              <w:tabs>
                <w:tab w:pos="427" w:val="left" w:leader="none"/>
              </w:tabs>
              <w:spacing w:line="240" w:lineRule="auto" w:before="160" w:after="0"/>
              <w:ind w:left="426" w:right="0" w:hanging="285"/>
              <w:jc w:val="left"/>
              <w:rPr>
                <w:b/>
                <w:sz w:val="20"/>
              </w:rPr>
            </w:pPr>
            <w:r>
              <w:rPr>
                <w:b/>
                <w:sz w:val="20"/>
              </w:rPr>
              <w:t>are not to be used for the purposes of</w:t>
            </w:r>
            <w:r>
              <w:rPr>
                <w:b/>
                <w:spacing w:val="-4"/>
                <w:sz w:val="20"/>
              </w:rPr>
              <w:t> </w:t>
            </w:r>
            <w:r>
              <w:rPr>
                <w:b/>
                <w:sz w:val="20"/>
              </w:rPr>
              <w:t>trade</w:t>
            </w:r>
          </w:p>
        </w:tc>
        <w:tc>
          <w:tcPr>
            <w:tcW w:w="148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53"/>
              <w:rPr>
                <w:b/>
                <w:sz w:val="20"/>
              </w:rPr>
            </w:pPr>
            <w:r>
              <w:rPr>
                <w:b/>
                <w:sz w:val="20"/>
              </w:rPr>
              <w:t>Free</w:t>
            </w:r>
          </w:p>
        </w:tc>
      </w:tr>
      <w:tr>
        <w:trPr>
          <w:trHeight w:val="1517" w:hRule="atLeast"/>
        </w:trPr>
        <w:tc>
          <w:tcPr>
            <w:tcW w:w="506" w:type="dxa"/>
          </w:tcPr>
          <w:p>
            <w:pPr>
              <w:pStyle w:val="TableParagraph"/>
              <w:rPr>
                <w:rFonts w:ascii="Arial Narrow"/>
                <w:b/>
                <w:sz w:val="22"/>
              </w:rPr>
            </w:pPr>
          </w:p>
          <w:p>
            <w:pPr>
              <w:pStyle w:val="TableParagraph"/>
              <w:spacing w:before="7"/>
              <w:rPr>
                <w:rFonts w:ascii="Arial Narrow"/>
                <w:b/>
                <w:sz w:val="25"/>
              </w:rPr>
            </w:pPr>
          </w:p>
          <w:p>
            <w:pPr>
              <w:pStyle w:val="TableParagraph"/>
              <w:ind w:left="122"/>
              <w:rPr>
                <w:b/>
                <w:sz w:val="20"/>
              </w:rPr>
            </w:pPr>
            <w:r>
              <w:rPr>
                <w:b/>
                <w:sz w:val="20"/>
              </w:rPr>
              <w:t>11</w:t>
            </w:r>
          </w:p>
        </w:tc>
        <w:tc>
          <w:tcPr>
            <w:tcW w:w="517" w:type="dxa"/>
          </w:tcPr>
          <w:p>
            <w:pPr>
              <w:pStyle w:val="TableParagraph"/>
              <w:rPr>
                <w:rFonts w:ascii="Arial Narrow"/>
                <w:b/>
                <w:sz w:val="22"/>
              </w:rPr>
            </w:pPr>
          </w:p>
          <w:p>
            <w:pPr>
              <w:pStyle w:val="TableParagraph"/>
              <w:spacing w:before="7"/>
              <w:rPr>
                <w:rFonts w:ascii="Arial Narrow"/>
                <w:b/>
                <w:sz w:val="25"/>
              </w:rPr>
            </w:pPr>
          </w:p>
          <w:p>
            <w:pPr>
              <w:pStyle w:val="TableParagraph"/>
              <w:ind w:left="182"/>
              <w:rPr>
                <w:sz w:val="20"/>
              </w:rPr>
            </w:pPr>
            <w:r>
              <w:rPr>
                <w:sz w:val="20"/>
              </w:rPr>
              <w:t>..</w:t>
            </w:r>
          </w:p>
        </w:tc>
        <w:tc>
          <w:tcPr>
            <w:tcW w:w="1253" w:type="dxa"/>
          </w:tcPr>
          <w:p>
            <w:pPr>
              <w:pStyle w:val="TableParagraph"/>
              <w:rPr>
                <w:rFonts w:ascii="Arial Narrow"/>
                <w:b/>
                <w:sz w:val="22"/>
              </w:rPr>
            </w:pPr>
          </w:p>
          <w:p>
            <w:pPr>
              <w:pStyle w:val="TableParagraph"/>
              <w:spacing w:before="7"/>
              <w:rPr>
                <w:rFonts w:ascii="Arial Narrow"/>
                <w:b/>
                <w:sz w:val="25"/>
              </w:rPr>
            </w:pPr>
          </w:p>
          <w:p>
            <w:pPr>
              <w:pStyle w:val="TableParagraph"/>
              <w:ind w:right="112"/>
              <w:jc w:val="right"/>
              <w:rPr>
                <w:sz w:val="20"/>
              </w:rPr>
            </w:pPr>
            <w:r>
              <w:rPr>
                <w:sz w:val="20"/>
              </w:rPr>
              <w:t>9999.30.11</w:t>
            </w:r>
          </w:p>
        </w:tc>
        <w:tc>
          <w:tcPr>
            <w:tcW w:w="824" w:type="dxa"/>
          </w:tcPr>
          <w:p>
            <w:pPr>
              <w:pStyle w:val="TableParagraph"/>
              <w:rPr>
                <w:rFonts w:ascii="Arial Narrow"/>
                <w:b/>
                <w:sz w:val="22"/>
              </w:rPr>
            </w:pPr>
          </w:p>
          <w:p>
            <w:pPr>
              <w:pStyle w:val="TableParagraph"/>
              <w:spacing w:before="7"/>
              <w:rPr>
                <w:rFonts w:ascii="Arial Narrow"/>
                <w:b/>
                <w:sz w:val="25"/>
              </w:rPr>
            </w:pPr>
          </w:p>
          <w:p>
            <w:pPr>
              <w:pStyle w:val="TableParagraph"/>
              <w:tabs>
                <w:tab w:pos="580" w:val="left" w:leader="none"/>
              </w:tabs>
              <w:ind w:left="114"/>
              <w:rPr>
                <w:i/>
                <w:sz w:val="20"/>
              </w:rPr>
            </w:pPr>
            <w:r>
              <w:rPr>
                <w:i/>
                <w:sz w:val="20"/>
              </w:rPr>
              <w:t>05</w:t>
              <w:tab/>
              <w:t>..</w:t>
            </w:r>
          </w:p>
        </w:tc>
        <w:tc>
          <w:tcPr>
            <w:tcW w:w="5026" w:type="dxa"/>
          </w:tcPr>
          <w:p>
            <w:pPr>
              <w:pStyle w:val="TableParagraph"/>
              <w:spacing w:before="165"/>
              <w:ind w:left="142"/>
              <w:rPr>
                <w:b/>
                <w:sz w:val="20"/>
              </w:rPr>
            </w:pPr>
            <w:r>
              <w:rPr>
                <w:b/>
                <w:sz w:val="20"/>
                <w:u w:val="single"/>
              </w:rPr>
              <w:t>Item 11 – Goods for foreign forces</w:t>
            </w:r>
          </w:p>
          <w:p>
            <w:pPr>
              <w:pStyle w:val="TableParagraph"/>
              <w:spacing w:line="196" w:lineRule="auto" w:before="183"/>
              <w:ind w:left="142" w:right="236"/>
              <w:rPr>
                <w:b/>
                <w:sz w:val="20"/>
              </w:rPr>
            </w:pPr>
            <w:r>
              <w:rPr>
                <w:b/>
                <w:sz w:val="20"/>
              </w:rPr>
              <w:t>Goods, as prescribed by by-law, that are for use by, or for sale to, persons the subject of a Status of Forces Agreement between the Government of Australia and the government of another country or other countries</w:t>
            </w:r>
          </w:p>
        </w:tc>
        <w:tc>
          <w:tcPr>
            <w:tcW w:w="1482" w:type="dxa"/>
          </w:tcPr>
          <w:p>
            <w:pPr>
              <w:pStyle w:val="TableParagraph"/>
              <w:rPr>
                <w:rFonts w:ascii="Arial Narrow"/>
                <w:b/>
                <w:sz w:val="22"/>
              </w:rPr>
            </w:pPr>
          </w:p>
          <w:p>
            <w:pPr>
              <w:pStyle w:val="TableParagraph"/>
              <w:spacing w:before="7"/>
              <w:rPr>
                <w:rFonts w:ascii="Arial Narrow"/>
                <w:b/>
                <w:sz w:val="25"/>
              </w:rPr>
            </w:pPr>
          </w:p>
          <w:p>
            <w:pPr>
              <w:pStyle w:val="TableParagraph"/>
              <w:ind w:left="253"/>
              <w:rPr>
                <w:b/>
                <w:sz w:val="20"/>
              </w:rPr>
            </w:pPr>
            <w:r>
              <w:rPr>
                <w:b/>
                <w:sz w:val="20"/>
              </w:rPr>
              <w:t>Free</w:t>
            </w:r>
          </w:p>
        </w:tc>
      </w:tr>
      <w:tr>
        <w:trPr>
          <w:trHeight w:val="1153" w:hRule="atLeast"/>
        </w:trPr>
        <w:tc>
          <w:tcPr>
            <w:tcW w:w="506"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sz w:val="20"/>
              </w:rPr>
              <w:t>12</w:t>
            </w:r>
          </w:p>
        </w:tc>
        <w:tc>
          <w:tcPr>
            <w:tcW w:w="517"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2"/>
              <w:rPr>
                <w:sz w:val="20"/>
              </w:rPr>
            </w:pPr>
            <w:r>
              <w:rPr>
                <w:sz w:val="20"/>
              </w:rPr>
              <w:t>..</w:t>
            </w:r>
          </w:p>
        </w:tc>
        <w:tc>
          <w:tcPr>
            <w:tcW w:w="1253"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12"/>
              <w:jc w:val="right"/>
              <w:rPr>
                <w:sz w:val="20"/>
              </w:rPr>
            </w:pPr>
            <w:r>
              <w:rPr>
                <w:sz w:val="20"/>
              </w:rPr>
              <w:t>9999.30.12</w:t>
            </w:r>
          </w:p>
        </w:tc>
        <w:tc>
          <w:tcPr>
            <w:tcW w:w="824" w:type="dxa"/>
          </w:tcPr>
          <w:p>
            <w:pPr>
              <w:pStyle w:val="TableParagraph"/>
              <w:rPr>
                <w:rFonts w:ascii="Arial Narrow"/>
                <w:b/>
                <w:sz w:val="22"/>
              </w:rPr>
            </w:pPr>
          </w:p>
          <w:p>
            <w:pPr>
              <w:pStyle w:val="TableParagraph"/>
              <w:spacing w:before="6"/>
              <w:rPr>
                <w:rFonts w:ascii="Arial Narrow"/>
                <w:b/>
                <w:sz w:val="25"/>
              </w:rPr>
            </w:pPr>
          </w:p>
          <w:p>
            <w:pPr>
              <w:pStyle w:val="TableParagraph"/>
              <w:tabs>
                <w:tab w:pos="580" w:val="left" w:leader="none"/>
              </w:tabs>
              <w:spacing w:before="1"/>
              <w:ind w:left="114"/>
              <w:rPr>
                <w:i/>
                <w:sz w:val="20"/>
              </w:rPr>
            </w:pPr>
            <w:r>
              <w:rPr>
                <w:i/>
                <w:sz w:val="20"/>
              </w:rPr>
              <w:t>06</w:t>
              <w:tab/>
              <w:t>..</w:t>
            </w:r>
          </w:p>
        </w:tc>
        <w:tc>
          <w:tcPr>
            <w:tcW w:w="5026" w:type="dxa"/>
          </w:tcPr>
          <w:p>
            <w:pPr>
              <w:pStyle w:val="TableParagraph"/>
              <w:spacing w:before="165"/>
              <w:ind w:left="142"/>
              <w:jc w:val="both"/>
              <w:rPr>
                <w:b/>
                <w:sz w:val="20"/>
              </w:rPr>
            </w:pPr>
            <w:r>
              <w:rPr>
                <w:b/>
                <w:sz w:val="20"/>
                <w:u w:val="single"/>
              </w:rPr>
              <w:t>Item 12 – Trade Commissioner goods</w:t>
            </w:r>
          </w:p>
          <w:p>
            <w:pPr>
              <w:pStyle w:val="TableParagraph"/>
              <w:spacing w:line="190" w:lineRule="exact" w:before="184"/>
              <w:ind w:left="142" w:right="309"/>
              <w:jc w:val="both"/>
              <w:rPr>
                <w:b/>
                <w:sz w:val="20"/>
              </w:rPr>
            </w:pPr>
            <w:r>
              <w:rPr>
                <w:b/>
                <w:sz w:val="20"/>
              </w:rPr>
              <w:t>Goods, as prescribed by by-law, that, at the time they are entered for home consumption, are for the</w:t>
            </w:r>
            <w:r>
              <w:rPr>
                <w:b/>
                <w:spacing w:val="-22"/>
                <w:sz w:val="20"/>
              </w:rPr>
              <w:t> </w:t>
            </w:r>
            <w:r>
              <w:rPr>
                <w:b/>
                <w:sz w:val="20"/>
              </w:rPr>
              <w:t>official use of a Trade Commissioner of any</w:t>
            </w:r>
            <w:r>
              <w:rPr>
                <w:b/>
                <w:spacing w:val="-7"/>
                <w:sz w:val="20"/>
              </w:rPr>
              <w:t> </w:t>
            </w:r>
            <w:r>
              <w:rPr>
                <w:b/>
                <w:sz w:val="20"/>
              </w:rPr>
              <w:t>country</w:t>
            </w:r>
          </w:p>
        </w:tc>
        <w:tc>
          <w:tcPr>
            <w:tcW w:w="148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53"/>
              <w:rPr>
                <w:b/>
                <w:sz w:val="20"/>
              </w:rPr>
            </w:pPr>
            <w:r>
              <w:rPr>
                <w:b/>
                <w:sz w:val="20"/>
              </w:rPr>
              <w:t>Free</w:t>
            </w:r>
          </w:p>
        </w:tc>
      </w:tr>
    </w:tbl>
    <w:p>
      <w:pPr>
        <w:spacing w:after="0"/>
        <w:rPr>
          <w:sz w:val="20"/>
        </w:rPr>
        <w:sectPr>
          <w:type w:val="continuous"/>
          <w:pgSz w:w="11910" w:h="16850"/>
          <w:pgMar w:top="0" w:bottom="280" w:left="0" w:right="0"/>
        </w:sectPr>
      </w:pPr>
    </w:p>
    <w:p>
      <w:pPr>
        <w:pStyle w:val="BodyText"/>
        <w:spacing w:before="2"/>
        <w:rPr>
          <w:sz w:val="2"/>
        </w:rPr>
      </w:pPr>
    </w:p>
    <w:tbl>
      <w:tblPr>
        <w:tblW w:w="0" w:type="auto"/>
        <w:jc w:val="left"/>
        <w:tblInd w:w="1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506"/>
        <w:gridCol w:w="667"/>
        <w:gridCol w:w="1174"/>
        <w:gridCol w:w="5768"/>
        <w:gridCol w:w="1490"/>
      </w:tblGrid>
      <w:tr>
        <w:trPr>
          <w:trHeight w:val="2671" w:hRule="atLeast"/>
        </w:trPr>
        <w:tc>
          <w:tcPr>
            <w:tcW w:w="476" w:type="dxa"/>
          </w:tcPr>
          <w:p>
            <w:pPr>
              <w:pStyle w:val="TableParagraph"/>
              <w:rPr>
                <w:sz w:val="18"/>
              </w:rPr>
            </w:pPr>
          </w:p>
        </w:tc>
        <w:tc>
          <w:tcPr>
            <w:tcW w:w="506"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22"/>
              <w:rPr>
                <w:b/>
                <w:sz w:val="20"/>
              </w:rPr>
            </w:pPr>
            <w:r>
              <w:rPr>
                <w:b/>
                <w:sz w:val="20"/>
              </w:rPr>
              <w:t>13</w:t>
            </w:r>
          </w:p>
        </w:tc>
        <w:tc>
          <w:tcPr>
            <w:tcW w:w="667"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63" w:right="163"/>
              <w:jc w:val="center"/>
              <w:rPr>
                <w:sz w:val="20"/>
              </w:rPr>
            </w:pPr>
            <w:r>
              <w:rPr>
                <w:sz w:val="20"/>
              </w:rPr>
              <w:t>713</w:t>
            </w:r>
          </w:p>
        </w:tc>
        <w:tc>
          <w:tcPr>
            <w:tcW w:w="1174"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82"/>
              <w:rPr>
                <w:b/>
                <w:sz w:val="20"/>
              </w:rPr>
            </w:pPr>
            <w:r>
              <w:rPr>
                <w:b/>
                <w:w w:val="99"/>
                <w:sz w:val="20"/>
              </w:rPr>
              <w:t>*</w:t>
            </w:r>
          </w:p>
        </w:tc>
        <w:tc>
          <w:tcPr>
            <w:tcW w:w="5768" w:type="dxa"/>
            <w:tcBorders>
              <w:top w:val="single" w:sz="6" w:space="0" w:color="000000"/>
            </w:tcBorders>
          </w:tcPr>
          <w:p>
            <w:pPr>
              <w:pStyle w:val="TableParagraph"/>
              <w:spacing w:before="156"/>
              <w:ind w:left="893"/>
              <w:rPr>
                <w:b/>
                <w:sz w:val="20"/>
              </w:rPr>
            </w:pPr>
            <w:r>
              <w:rPr>
                <w:b/>
                <w:sz w:val="20"/>
                <w:u w:val="single"/>
              </w:rPr>
              <w:t>Item 13 – Goods subject to the Torres Strait Treaty</w:t>
            </w:r>
          </w:p>
          <w:p>
            <w:pPr>
              <w:pStyle w:val="TableParagraph"/>
              <w:spacing w:line="196" w:lineRule="auto" w:before="183"/>
              <w:ind w:left="893" w:right="255"/>
              <w:rPr>
                <w:b/>
                <w:sz w:val="20"/>
              </w:rPr>
            </w:pPr>
            <w:r>
              <w:rPr>
                <w:b/>
                <w:sz w:val="20"/>
              </w:rPr>
              <w:t>Goods, as prescribed by by-law, in relation to which the customs procedures of the Commonwealth are to be applied in the manner mentioned in Article 16 of the Treaty between Australia and the Independent State of Papua New Guinea concerning Sovereignty and Maritime Boundaries in the area between the two Countries, including the area known as Torres Strait, and Related Matters, done at Sydney on</w:t>
            </w:r>
          </w:p>
          <w:p>
            <w:pPr>
              <w:pStyle w:val="TableParagraph"/>
              <w:spacing w:line="204" w:lineRule="exact"/>
              <w:ind w:left="893"/>
              <w:rPr>
                <w:b/>
                <w:sz w:val="20"/>
              </w:rPr>
            </w:pPr>
            <w:r>
              <w:rPr>
                <w:b/>
                <w:sz w:val="20"/>
              </w:rPr>
              <w:t>18 December 1978 †</w:t>
            </w:r>
          </w:p>
        </w:tc>
        <w:tc>
          <w:tcPr>
            <w:tcW w:w="1490"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264"/>
              <w:rPr>
                <w:b/>
                <w:sz w:val="20"/>
              </w:rPr>
            </w:pPr>
            <w:r>
              <w:rPr>
                <w:b/>
                <w:sz w:val="20"/>
              </w:rPr>
              <w:t>Free</w:t>
            </w:r>
          </w:p>
        </w:tc>
      </w:tr>
      <w:tr>
        <w:trPr>
          <w:trHeight w:val="5799" w:hRule="atLeast"/>
        </w:trPr>
        <w:tc>
          <w:tcPr>
            <w:tcW w:w="476" w:type="dxa"/>
          </w:tcPr>
          <w:p>
            <w:pPr>
              <w:pStyle w:val="TableParagraph"/>
              <w:rPr>
                <w:rFonts w:ascii="Arial Narrow"/>
                <w:b/>
                <w:sz w:val="22"/>
              </w:rPr>
            </w:pPr>
          </w:p>
          <w:p>
            <w:pPr>
              <w:pStyle w:val="TableParagraph"/>
              <w:rPr>
                <w:rFonts w:ascii="Arial Narrow"/>
                <w:b/>
                <w:sz w:val="24"/>
              </w:rPr>
            </w:pPr>
          </w:p>
          <w:p>
            <w:pPr>
              <w:pStyle w:val="TableParagraph"/>
              <w:ind w:left="200"/>
              <w:rPr>
                <w:rFonts w:ascii="Wingdings" w:hAnsi="Wingdings"/>
                <w:sz w:val="20"/>
              </w:rPr>
            </w:pPr>
            <w:r>
              <w:rPr>
                <w:rFonts w:ascii="Wingdings" w:hAnsi="Wingdings"/>
                <w:w w:val="99"/>
                <w:sz w:val="20"/>
              </w:rPr>
              <w:t></w:t>
            </w:r>
          </w:p>
        </w:tc>
        <w:tc>
          <w:tcPr>
            <w:tcW w:w="506"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122"/>
              <w:rPr>
                <w:b/>
                <w:sz w:val="20"/>
              </w:rPr>
            </w:pPr>
            <w:r>
              <w:rPr>
                <w:b/>
                <w:sz w:val="20"/>
              </w:rPr>
              <w:t>14</w:t>
            </w:r>
          </w:p>
        </w:tc>
        <w:tc>
          <w:tcPr>
            <w:tcW w:w="667"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163" w:right="163"/>
              <w:jc w:val="center"/>
              <w:rPr>
                <w:sz w:val="20"/>
              </w:rPr>
            </w:pPr>
            <w:r>
              <w:rPr>
                <w:sz w:val="20"/>
              </w:rPr>
              <w:t>714</w:t>
            </w:r>
          </w:p>
        </w:tc>
        <w:tc>
          <w:tcPr>
            <w:tcW w:w="1174"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182"/>
              <w:rPr>
                <w:b/>
                <w:sz w:val="20"/>
              </w:rPr>
            </w:pPr>
            <w:r>
              <w:rPr>
                <w:b/>
                <w:w w:val="99"/>
                <w:sz w:val="20"/>
              </w:rPr>
              <w:t>*</w:t>
            </w:r>
          </w:p>
        </w:tc>
        <w:tc>
          <w:tcPr>
            <w:tcW w:w="5768" w:type="dxa"/>
          </w:tcPr>
          <w:p>
            <w:pPr>
              <w:pStyle w:val="TableParagraph"/>
              <w:rPr>
                <w:rFonts w:ascii="Arial Narrow"/>
                <w:b/>
                <w:sz w:val="22"/>
              </w:rPr>
            </w:pPr>
          </w:p>
          <w:p>
            <w:pPr>
              <w:pStyle w:val="TableParagraph"/>
              <w:spacing w:line="196" w:lineRule="auto" w:before="162"/>
              <w:ind w:left="893"/>
              <w:rPr>
                <w:b/>
                <w:sz w:val="20"/>
              </w:rPr>
            </w:pPr>
            <w:r>
              <w:rPr>
                <w:b/>
                <w:sz w:val="20"/>
                <w:u w:val="single"/>
              </w:rPr>
              <w:t>Item 14 – Goods for use in a petroleum activity in the</w:t>
            </w:r>
            <w:r>
              <w:rPr>
                <w:b/>
                <w:sz w:val="20"/>
              </w:rPr>
              <w:t> </w:t>
            </w:r>
            <w:r>
              <w:rPr>
                <w:b/>
                <w:sz w:val="20"/>
                <w:u w:val="single"/>
              </w:rPr>
              <w:t>Timor Sea</w:t>
            </w:r>
          </w:p>
          <w:p>
            <w:pPr>
              <w:pStyle w:val="TableParagraph"/>
              <w:spacing w:before="3"/>
              <w:rPr>
                <w:rFonts w:ascii="Arial Narrow"/>
                <w:b/>
                <w:sz w:val="27"/>
              </w:rPr>
            </w:pPr>
          </w:p>
          <w:p>
            <w:pPr>
              <w:pStyle w:val="TableParagraph"/>
              <w:spacing w:line="196" w:lineRule="auto"/>
              <w:ind w:left="893" w:right="299"/>
              <w:rPr>
                <w:b/>
                <w:sz w:val="20"/>
              </w:rPr>
            </w:pPr>
            <w:r>
              <w:rPr>
                <w:b/>
                <w:sz w:val="20"/>
              </w:rPr>
              <w:t>Goods, as prescribed by by-law, that are for use in an activity that is one of the Petroleum Activities within the meaning of the Timor Sea Maritime Boundaries Treaty and takes place in:</w:t>
            </w:r>
          </w:p>
          <w:p>
            <w:pPr>
              <w:pStyle w:val="TableParagraph"/>
              <w:numPr>
                <w:ilvl w:val="0"/>
                <w:numId w:val="3"/>
              </w:numPr>
              <w:tabs>
                <w:tab w:pos="1179" w:val="left" w:leader="none"/>
              </w:tabs>
              <w:spacing w:line="196" w:lineRule="auto" w:before="193" w:after="0"/>
              <w:ind w:left="893" w:right="302" w:firstLine="0"/>
              <w:jc w:val="both"/>
              <w:rPr>
                <w:b/>
                <w:sz w:val="20"/>
              </w:rPr>
            </w:pPr>
            <w:r>
              <w:rPr>
                <w:b/>
                <w:sz w:val="20"/>
              </w:rPr>
              <w:t>the Greater Sunrise special regime area within</w:t>
            </w:r>
            <w:r>
              <w:rPr>
                <w:b/>
                <w:spacing w:val="-19"/>
                <w:sz w:val="20"/>
              </w:rPr>
              <w:t> </w:t>
            </w:r>
            <w:r>
              <w:rPr>
                <w:b/>
                <w:sz w:val="20"/>
              </w:rPr>
              <w:t>the meaning of the Seas and Submerged Lands Act 1973; or</w:t>
            </w:r>
          </w:p>
          <w:p>
            <w:pPr>
              <w:pStyle w:val="TableParagraph"/>
              <w:numPr>
                <w:ilvl w:val="0"/>
                <w:numId w:val="3"/>
              </w:numPr>
              <w:tabs>
                <w:tab w:pos="1189" w:val="left" w:leader="none"/>
              </w:tabs>
              <w:spacing w:line="199" w:lineRule="auto" w:before="191" w:after="0"/>
              <w:ind w:left="893" w:right="261" w:firstLine="0"/>
              <w:jc w:val="left"/>
              <w:rPr>
                <w:b/>
                <w:sz w:val="20"/>
              </w:rPr>
            </w:pPr>
            <w:r>
              <w:rPr>
                <w:b/>
                <w:sz w:val="20"/>
              </w:rPr>
              <w:t>the Greater Sunrise pipeline international</w:t>
            </w:r>
            <w:r>
              <w:rPr>
                <w:b/>
                <w:spacing w:val="-20"/>
                <w:sz w:val="20"/>
              </w:rPr>
              <w:t> </w:t>
            </w:r>
            <w:r>
              <w:rPr>
                <w:b/>
                <w:sz w:val="20"/>
              </w:rPr>
              <w:t>offshore area within the meaning of the Offshore Petroleum and Greenhouse Gas Storage Act 2006;</w:t>
            </w:r>
            <w:r>
              <w:rPr>
                <w:b/>
                <w:spacing w:val="-3"/>
                <w:sz w:val="20"/>
              </w:rPr>
              <w:t> </w:t>
            </w:r>
            <w:r>
              <w:rPr>
                <w:b/>
                <w:sz w:val="20"/>
              </w:rPr>
              <w:t>or</w:t>
            </w:r>
          </w:p>
          <w:p>
            <w:pPr>
              <w:pStyle w:val="TableParagraph"/>
              <w:numPr>
                <w:ilvl w:val="0"/>
                <w:numId w:val="3"/>
              </w:numPr>
              <w:tabs>
                <w:tab w:pos="1167" w:val="left" w:leader="none"/>
              </w:tabs>
              <w:spacing w:line="196" w:lineRule="auto" w:before="188" w:after="0"/>
              <w:ind w:left="893" w:right="574" w:firstLine="0"/>
              <w:jc w:val="left"/>
              <w:rPr>
                <w:b/>
                <w:sz w:val="20"/>
              </w:rPr>
            </w:pPr>
            <w:r>
              <w:rPr>
                <w:b/>
                <w:sz w:val="20"/>
              </w:rPr>
              <w:t>the area in or above the Bayu-Undan Gas Field within the meaning of the Timor Sea Maritime Boundaries Treaty;</w:t>
            </w:r>
            <w:r>
              <w:rPr>
                <w:b/>
                <w:spacing w:val="-2"/>
                <w:sz w:val="20"/>
              </w:rPr>
              <w:t> </w:t>
            </w:r>
            <w:r>
              <w:rPr>
                <w:b/>
                <w:sz w:val="20"/>
              </w:rPr>
              <w:t>or</w:t>
            </w:r>
          </w:p>
          <w:p>
            <w:pPr>
              <w:pStyle w:val="TableParagraph"/>
              <w:numPr>
                <w:ilvl w:val="0"/>
                <w:numId w:val="3"/>
              </w:numPr>
              <w:tabs>
                <w:tab w:pos="1189" w:val="left" w:leader="none"/>
              </w:tabs>
              <w:spacing w:line="196" w:lineRule="auto" w:before="193" w:after="0"/>
              <w:ind w:left="893" w:right="524" w:firstLine="0"/>
              <w:jc w:val="both"/>
              <w:rPr>
                <w:b/>
                <w:sz w:val="20"/>
              </w:rPr>
            </w:pPr>
            <w:r>
              <w:rPr>
                <w:b/>
                <w:sz w:val="20"/>
              </w:rPr>
              <w:t>the Bayu-Undan pipeline international offshore area within the meaning of the Offshore</w:t>
            </w:r>
            <w:r>
              <w:rPr>
                <w:b/>
                <w:spacing w:val="-12"/>
                <w:sz w:val="20"/>
              </w:rPr>
              <w:t> </w:t>
            </w:r>
            <w:r>
              <w:rPr>
                <w:b/>
                <w:sz w:val="20"/>
              </w:rPr>
              <w:t>Petroleum and Greenhouse Gas Storage Act 2006;</w:t>
            </w:r>
            <w:r>
              <w:rPr>
                <w:b/>
                <w:spacing w:val="-3"/>
                <w:sz w:val="20"/>
              </w:rPr>
              <w:t> </w:t>
            </w:r>
            <w:r>
              <w:rPr>
                <w:b/>
                <w:sz w:val="20"/>
              </w:rPr>
              <w:t>or</w:t>
            </w:r>
          </w:p>
          <w:p>
            <w:pPr>
              <w:pStyle w:val="TableParagraph"/>
              <w:numPr>
                <w:ilvl w:val="0"/>
                <w:numId w:val="3"/>
              </w:numPr>
              <w:tabs>
                <w:tab w:pos="1167" w:val="left" w:leader="none"/>
              </w:tabs>
              <w:spacing w:line="196" w:lineRule="auto" w:before="193" w:after="0"/>
              <w:ind w:left="893" w:right="328" w:firstLine="0"/>
              <w:jc w:val="left"/>
              <w:rPr>
                <w:b/>
                <w:sz w:val="20"/>
              </w:rPr>
            </w:pPr>
            <w:r>
              <w:rPr>
                <w:b/>
                <w:sz w:val="20"/>
              </w:rPr>
              <w:t>the area in or above the Kitan Oil Field within the meaning of the Timor Sea Maritime Boundaries Treaty</w:t>
            </w:r>
          </w:p>
        </w:tc>
        <w:tc>
          <w:tcPr>
            <w:tcW w:w="1490"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264"/>
              <w:rPr>
                <w:b/>
                <w:sz w:val="20"/>
              </w:rPr>
            </w:pPr>
            <w:r>
              <w:rPr>
                <w:b/>
                <w:sz w:val="20"/>
              </w:rPr>
              <w:t>Free</w:t>
            </w:r>
          </w:p>
        </w:tc>
      </w:tr>
      <w:tr>
        <w:trPr>
          <w:trHeight w:val="1118" w:hRule="atLeast"/>
        </w:trPr>
        <w:tc>
          <w:tcPr>
            <w:tcW w:w="476" w:type="dxa"/>
          </w:tcPr>
          <w:p>
            <w:pPr>
              <w:pStyle w:val="TableParagraph"/>
              <w:rPr>
                <w:sz w:val="18"/>
              </w:rPr>
            </w:pPr>
          </w:p>
        </w:tc>
        <w:tc>
          <w:tcPr>
            <w:tcW w:w="506" w:type="dxa"/>
          </w:tcPr>
          <w:p>
            <w:pPr>
              <w:pStyle w:val="TableParagraph"/>
              <w:rPr>
                <w:sz w:val="18"/>
              </w:rPr>
            </w:pPr>
          </w:p>
        </w:tc>
        <w:tc>
          <w:tcPr>
            <w:tcW w:w="667" w:type="dxa"/>
          </w:tcPr>
          <w:p>
            <w:pPr>
              <w:pStyle w:val="TableParagraph"/>
              <w:rPr>
                <w:sz w:val="18"/>
              </w:rPr>
            </w:pPr>
          </w:p>
        </w:tc>
        <w:tc>
          <w:tcPr>
            <w:tcW w:w="1174" w:type="dxa"/>
          </w:tcPr>
          <w:p>
            <w:pPr>
              <w:pStyle w:val="TableParagraph"/>
              <w:rPr>
                <w:sz w:val="18"/>
              </w:rPr>
            </w:pPr>
          </w:p>
        </w:tc>
        <w:tc>
          <w:tcPr>
            <w:tcW w:w="5768" w:type="dxa"/>
          </w:tcPr>
          <w:p>
            <w:pPr>
              <w:pStyle w:val="TableParagraph"/>
              <w:spacing w:line="196" w:lineRule="auto" w:before="163"/>
              <w:ind w:left="1186" w:right="329" w:hanging="284"/>
              <w:rPr>
                <w:sz w:val="20"/>
              </w:rPr>
            </w:pPr>
            <w:r>
              <w:rPr>
                <w:sz w:val="20"/>
              </w:rPr>
              <w:t>† For item 13, the text of the Treaty is set out in Australian Treaty Series 1985 No. 4 ([1985] ATS 4). In 2012, the text of a Treaty in the Australian Treaty Series was accessible through the Australian</w:t>
            </w:r>
            <w:r>
              <w:rPr>
                <w:spacing w:val="-37"/>
                <w:sz w:val="20"/>
              </w:rPr>
              <w:t> </w:t>
            </w:r>
            <w:r>
              <w:rPr>
                <w:sz w:val="20"/>
              </w:rPr>
              <w:t>Treaties</w:t>
            </w:r>
          </w:p>
          <w:p>
            <w:pPr>
              <w:pStyle w:val="TableParagraph"/>
              <w:spacing w:line="181" w:lineRule="exact"/>
              <w:ind w:left="1186"/>
              <w:rPr>
                <w:sz w:val="20"/>
              </w:rPr>
            </w:pPr>
            <w:r>
              <w:rPr>
                <w:sz w:val="20"/>
              </w:rPr>
              <w:t>Library</w:t>
            </w:r>
            <w:r>
              <w:rPr>
                <w:spacing w:val="-14"/>
                <w:sz w:val="20"/>
              </w:rPr>
              <w:t> </w:t>
            </w:r>
            <w:r>
              <w:rPr>
                <w:sz w:val="20"/>
              </w:rPr>
              <w:t>on</w:t>
            </w:r>
            <w:r>
              <w:rPr>
                <w:spacing w:val="-11"/>
                <w:sz w:val="20"/>
              </w:rPr>
              <w:t> </w:t>
            </w:r>
            <w:r>
              <w:rPr>
                <w:sz w:val="20"/>
              </w:rPr>
              <w:t>the</w:t>
            </w:r>
            <w:r>
              <w:rPr>
                <w:spacing w:val="-11"/>
                <w:sz w:val="20"/>
              </w:rPr>
              <w:t> </w:t>
            </w:r>
            <w:r>
              <w:rPr>
                <w:sz w:val="20"/>
              </w:rPr>
              <w:t>AustLII</w:t>
            </w:r>
            <w:r>
              <w:rPr>
                <w:spacing w:val="-10"/>
                <w:sz w:val="20"/>
              </w:rPr>
              <w:t> </w:t>
            </w:r>
            <w:r>
              <w:rPr>
                <w:sz w:val="20"/>
              </w:rPr>
              <w:t>website</w:t>
            </w:r>
            <w:r>
              <w:rPr>
                <w:spacing w:val="-11"/>
                <w:sz w:val="20"/>
              </w:rPr>
              <w:t> </w:t>
            </w:r>
            <w:r>
              <w:rPr>
                <w:sz w:val="20"/>
              </w:rPr>
              <w:t>(www.austlii.edu.au).</w:t>
            </w:r>
          </w:p>
        </w:tc>
        <w:tc>
          <w:tcPr>
            <w:tcW w:w="149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3"/>
        </w:rPr>
      </w:pPr>
      <w:r>
        <w:rPr/>
        <w:pict>
          <v:shape style="position:absolute;margin-left:78.264pt;margin-top:10.154021pt;width:478.85pt;height:.1pt;mso-position-horizontal-relative:page;mso-position-vertical-relative:paragraph;z-index:-15727616;mso-wrap-distance-left:0;mso-wrap-distance-right:0" coordorigin="1565,203" coordsize="9577,0" path="m1565,203l11142,203e" filled="false" stroked="true" strokeweight=".567pt" strokecolor="#000000">
            <v:path arrowok="t"/>
            <v:stroke dashstyle="solid"/>
            <w10:wrap type="topAndBottom"/>
          </v:shape>
        </w:pict>
      </w:r>
    </w:p>
    <w:p>
      <w:pPr>
        <w:spacing w:after="0"/>
        <w:rPr>
          <w:sz w:val="13"/>
        </w:rPr>
        <w:sectPr>
          <w:headerReference w:type="default" r:id="rId10"/>
          <w:footerReference w:type="default" r:id="rId11"/>
          <w:pgSz w:w="11910" w:h="16850"/>
          <w:pgMar w:header="704" w:footer="2106" w:top="2820" w:bottom="2300" w:left="0" w:right="0"/>
          <w:pgNumType w:start="8"/>
        </w:sectPr>
      </w:pPr>
    </w:p>
    <w:p>
      <w:pPr>
        <w:pStyle w:val="BodyText"/>
        <w:tabs>
          <w:tab w:pos="2239" w:val="left" w:leader="none"/>
        </w:tabs>
        <w:spacing w:before="58"/>
        <w:ind w:left="2239" w:hanging="567"/>
      </w:pPr>
      <w:r>
        <w:rPr/>
        <w:t>Item</w:t>
        <w:tab/>
      </w:r>
      <w:r>
        <w:rPr>
          <w:w w:val="95"/>
        </w:rPr>
        <w:t>Treat- </w:t>
      </w:r>
      <w:r>
        <w:rPr/>
        <w:t>ment</w:t>
      </w:r>
    </w:p>
    <w:p>
      <w:pPr>
        <w:pStyle w:val="BodyText"/>
        <w:spacing w:before="58"/>
        <w:ind w:left="215"/>
      </w:pPr>
      <w:r>
        <w:rPr>
          <w:b w:val="0"/>
        </w:rPr>
        <w:br w:type="column"/>
      </w:r>
      <w:r>
        <w:rPr>
          <w:w w:val="95"/>
        </w:rPr>
        <w:t>Refer- </w:t>
      </w:r>
      <w:r>
        <w:rPr/>
        <w:t>ence</w:t>
      </w:r>
    </w:p>
    <w:p>
      <w:pPr>
        <w:spacing w:before="60"/>
        <w:ind w:left="479" w:right="0" w:firstLine="0"/>
        <w:jc w:val="left"/>
        <w:rPr>
          <w:rFonts w:ascii="Arial Narrow"/>
          <w:sz w:val="20"/>
        </w:rPr>
      </w:pPr>
      <w:r>
        <w:rPr/>
        <w:br w:type="column"/>
      </w:r>
      <w:r>
        <w:rPr>
          <w:rFonts w:ascii="Arial Narrow"/>
          <w:sz w:val="20"/>
        </w:rPr>
        <w:t>Statistical</w:t>
      </w:r>
    </w:p>
    <w:p>
      <w:pPr>
        <w:pStyle w:val="BodyText"/>
        <w:spacing w:before="2"/>
        <w:ind w:left="479"/>
      </w:pPr>
      <w:r>
        <w:rPr/>
        <w:t>Code/Unit</w:t>
      </w:r>
    </w:p>
    <w:p>
      <w:pPr>
        <w:pStyle w:val="BodyText"/>
        <w:spacing w:before="2"/>
        <w:rPr>
          <w:sz w:val="25"/>
        </w:rPr>
      </w:pPr>
      <w:r>
        <w:rPr>
          <w:b w:val="0"/>
        </w:rPr>
        <w:br w:type="column"/>
      </w:r>
      <w:r>
        <w:rPr>
          <w:sz w:val="25"/>
        </w:rPr>
      </w:r>
    </w:p>
    <w:p>
      <w:pPr>
        <w:pStyle w:val="BodyText"/>
        <w:tabs>
          <w:tab w:pos="5043" w:val="left" w:leader="none"/>
        </w:tabs>
        <w:spacing w:before="1"/>
        <w:ind w:left="1673"/>
      </w:pPr>
      <w:r>
        <w:rPr/>
        <w:t>Description</w:t>
      </w:r>
      <w:r>
        <w:rPr>
          <w:spacing w:val="-2"/>
        </w:rPr>
        <w:t> </w:t>
      </w:r>
      <w:r>
        <w:rPr/>
        <w:t>of</w:t>
      </w:r>
      <w:r>
        <w:rPr>
          <w:spacing w:val="-1"/>
        </w:rPr>
        <w:t> </w:t>
      </w:r>
      <w:r>
        <w:rPr/>
        <w:t>Goods</w:t>
        <w:tab/>
        <w:t>Rate</w:t>
      </w:r>
      <w:r>
        <w:rPr>
          <w:spacing w:val="-1"/>
        </w:rPr>
        <w:t> </w:t>
      </w:r>
      <w:r>
        <w:rPr/>
        <w:t>#</w:t>
      </w:r>
    </w:p>
    <w:p>
      <w:pPr>
        <w:spacing w:after="0"/>
        <w:sectPr>
          <w:headerReference w:type="default" r:id="rId12"/>
          <w:footerReference w:type="default" r:id="rId13"/>
          <w:pgSz w:w="11910" w:h="16840"/>
          <w:pgMar w:header="704" w:footer="2084" w:top="2160" w:bottom="2280" w:left="0" w:right="0"/>
          <w:cols w:num="4" w:equalWidth="0">
            <w:col w:w="2695" w:space="40"/>
            <w:col w:w="688" w:space="39"/>
            <w:col w:w="1294" w:space="134"/>
            <w:col w:w="7020"/>
          </w:cols>
        </w:sectPr>
      </w:pPr>
    </w:p>
    <w:p>
      <w:pPr>
        <w:pStyle w:val="BodyText"/>
        <w:tabs>
          <w:tab w:pos="2239" w:val="left" w:leader="none"/>
          <w:tab w:pos="2949" w:val="left" w:leader="none"/>
          <w:tab w:pos="3941" w:val="left" w:leader="none"/>
          <w:tab w:pos="11157" w:val="left" w:leader="none"/>
        </w:tabs>
        <w:spacing w:before="1"/>
        <w:ind w:left="1550"/>
      </w:pPr>
      <w:r>
        <w:rPr>
          <w:w w:val="99"/>
          <w:u w:val="single"/>
        </w:rPr>
        <w:t> </w:t>
      </w:r>
      <w:r>
        <w:rPr>
          <w:u w:val="single"/>
        </w:rPr>
        <w:tab/>
        <w:t>Code</w:t>
        <w:tab/>
        <w:t>Number</w:t>
        <w:tab/>
        <w:t>of</w:t>
      </w:r>
      <w:r>
        <w:rPr>
          <w:spacing w:val="-5"/>
          <w:u w:val="single"/>
        </w:rPr>
        <w:t> </w:t>
      </w:r>
      <w:r>
        <w:rPr>
          <w:u w:val="single"/>
        </w:rPr>
        <w:t>Quantity</w:t>
        <w:tab/>
      </w:r>
    </w:p>
    <w:p>
      <w:pPr>
        <w:pStyle w:val="BodyText"/>
        <w:spacing w:before="5"/>
        <w:rPr>
          <w:sz w:val="19"/>
        </w:rPr>
      </w:pPr>
    </w:p>
    <w:tbl>
      <w:tblPr>
        <w:tblW w:w="0" w:type="auto"/>
        <w:jc w:val="left"/>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552"/>
        <w:gridCol w:w="670"/>
        <w:gridCol w:w="1260"/>
        <w:gridCol w:w="5683"/>
        <w:gridCol w:w="852"/>
      </w:tblGrid>
      <w:tr>
        <w:trPr>
          <w:trHeight w:val="584" w:hRule="atLeast"/>
        </w:trPr>
        <w:tc>
          <w:tcPr>
            <w:tcW w:w="546" w:type="dxa"/>
          </w:tcPr>
          <w:p>
            <w:pPr>
              <w:pStyle w:val="TableParagraph"/>
              <w:rPr>
                <w:sz w:val="20"/>
              </w:rPr>
            </w:pPr>
          </w:p>
        </w:tc>
        <w:tc>
          <w:tcPr>
            <w:tcW w:w="552" w:type="dxa"/>
          </w:tcPr>
          <w:p>
            <w:pPr>
              <w:pStyle w:val="TableParagraph"/>
              <w:rPr>
                <w:sz w:val="20"/>
              </w:rPr>
            </w:pPr>
          </w:p>
        </w:tc>
        <w:tc>
          <w:tcPr>
            <w:tcW w:w="670" w:type="dxa"/>
          </w:tcPr>
          <w:p>
            <w:pPr>
              <w:pStyle w:val="TableParagraph"/>
              <w:rPr>
                <w:sz w:val="20"/>
              </w:rPr>
            </w:pPr>
          </w:p>
        </w:tc>
        <w:tc>
          <w:tcPr>
            <w:tcW w:w="1260" w:type="dxa"/>
          </w:tcPr>
          <w:p>
            <w:pPr>
              <w:pStyle w:val="TableParagraph"/>
              <w:rPr>
                <w:sz w:val="20"/>
              </w:rPr>
            </w:pPr>
          </w:p>
        </w:tc>
        <w:tc>
          <w:tcPr>
            <w:tcW w:w="5683" w:type="dxa"/>
            <w:vMerge w:val="restart"/>
          </w:tcPr>
          <w:p>
            <w:pPr>
              <w:pStyle w:val="TableParagraph"/>
              <w:spacing w:line="196" w:lineRule="auto" w:before="24"/>
              <w:ind w:left="974" w:right="1267"/>
              <w:rPr>
                <w:b/>
                <w:sz w:val="20"/>
              </w:rPr>
            </w:pPr>
            <w:r>
              <w:rPr>
                <w:b/>
                <w:sz w:val="20"/>
                <w:u w:val="single"/>
              </w:rPr>
              <w:t>Item 40 – Aluminised steel for use in the</w:t>
            </w:r>
            <w:r>
              <w:rPr>
                <w:b/>
                <w:sz w:val="20"/>
              </w:rPr>
              <w:t> </w:t>
            </w:r>
            <w:r>
              <w:rPr>
                <w:b/>
                <w:sz w:val="20"/>
                <w:u w:val="single"/>
              </w:rPr>
              <w:t>manufacture of muffler exhaust systems</w:t>
            </w:r>
          </w:p>
          <w:p>
            <w:pPr>
              <w:pStyle w:val="TableParagraph"/>
              <w:spacing w:line="196" w:lineRule="auto" w:before="192"/>
              <w:ind w:left="974" w:right="416"/>
              <w:rPr>
                <w:b/>
                <w:sz w:val="20"/>
              </w:rPr>
            </w:pPr>
            <w:r>
              <w:rPr>
                <w:b/>
                <w:sz w:val="20"/>
              </w:rPr>
              <w:t>Aluminised steel classified under subheading 7210.61.00, 7210.69.00 or 7212.50.00 of Schedule 3</w:t>
            </w:r>
          </w:p>
          <w:p>
            <w:pPr>
              <w:pStyle w:val="TableParagraph"/>
              <w:spacing w:line="199" w:lineRule="auto"/>
              <w:ind w:left="974" w:right="416"/>
              <w:rPr>
                <w:b/>
                <w:sz w:val="20"/>
              </w:rPr>
            </w:pPr>
            <w:r>
              <w:rPr>
                <w:b/>
                <w:sz w:val="20"/>
              </w:rPr>
              <w:t>and for use in the manufacture of automotive muffler exhaust systems or components</w:t>
            </w:r>
          </w:p>
        </w:tc>
        <w:tc>
          <w:tcPr>
            <w:tcW w:w="852" w:type="dxa"/>
          </w:tcPr>
          <w:p>
            <w:pPr>
              <w:pStyle w:val="TableParagraph"/>
              <w:spacing w:before="4"/>
              <w:rPr>
                <w:rFonts w:ascii="Arial Narrow"/>
                <w:b/>
                <w:sz w:val="32"/>
              </w:rPr>
            </w:pPr>
          </w:p>
          <w:p>
            <w:pPr>
              <w:pStyle w:val="TableParagraph"/>
              <w:spacing w:line="194" w:lineRule="exact"/>
              <w:ind w:left="242" w:right="181"/>
              <w:jc w:val="center"/>
              <w:rPr>
                <w:b/>
                <w:sz w:val="20"/>
              </w:rPr>
            </w:pPr>
            <w:r>
              <w:rPr>
                <w:b/>
                <w:sz w:val="20"/>
              </w:rPr>
              <w:t>Free</w:t>
            </w:r>
          </w:p>
        </w:tc>
      </w:tr>
      <w:tr>
        <w:trPr>
          <w:trHeight w:val="950" w:hRule="atLeast"/>
        </w:trPr>
        <w:tc>
          <w:tcPr>
            <w:tcW w:w="546" w:type="dxa"/>
          </w:tcPr>
          <w:p>
            <w:pPr>
              <w:pStyle w:val="TableParagraph"/>
              <w:rPr>
                <w:sz w:val="20"/>
              </w:rPr>
            </w:pPr>
          </w:p>
        </w:tc>
        <w:tc>
          <w:tcPr>
            <w:tcW w:w="552" w:type="dxa"/>
          </w:tcPr>
          <w:p>
            <w:pPr>
              <w:pStyle w:val="TableParagraph"/>
              <w:spacing w:line="205" w:lineRule="exact"/>
              <w:ind w:left="167"/>
              <w:rPr>
                <w:b/>
                <w:sz w:val="20"/>
              </w:rPr>
            </w:pPr>
            <w:r>
              <w:rPr>
                <w:b/>
                <w:sz w:val="20"/>
              </w:rPr>
              <w:t>40</w:t>
            </w:r>
          </w:p>
        </w:tc>
        <w:tc>
          <w:tcPr>
            <w:tcW w:w="670" w:type="dxa"/>
          </w:tcPr>
          <w:p>
            <w:pPr>
              <w:pStyle w:val="TableParagraph"/>
              <w:spacing w:line="205" w:lineRule="exact"/>
              <w:ind w:left="164" w:right="165"/>
              <w:jc w:val="center"/>
              <w:rPr>
                <w:sz w:val="20"/>
              </w:rPr>
            </w:pPr>
            <w:r>
              <w:rPr>
                <w:sz w:val="20"/>
              </w:rPr>
              <w:t>740</w:t>
            </w:r>
          </w:p>
        </w:tc>
        <w:tc>
          <w:tcPr>
            <w:tcW w:w="1260" w:type="dxa"/>
          </w:tcPr>
          <w:p>
            <w:pPr>
              <w:pStyle w:val="TableParagraph"/>
              <w:spacing w:line="205" w:lineRule="exact"/>
              <w:ind w:left="183"/>
              <w:rPr>
                <w:b/>
                <w:sz w:val="20"/>
              </w:rPr>
            </w:pPr>
            <w:r>
              <w:rPr>
                <w:b/>
                <w:w w:val="99"/>
                <w:sz w:val="20"/>
              </w:rPr>
              <w:t>*</w:t>
            </w:r>
          </w:p>
        </w:tc>
        <w:tc>
          <w:tcPr>
            <w:tcW w:w="5683" w:type="dxa"/>
            <w:vMerge/>
            <w:tcBorders>
              <w:top w:val="nil"/>
            </w:tcBorders>
          </w:tcPr>
          <w:p>
            <w:pPr>
              <w:rPr>
                <w:sz w:val="2"/>
                <w:szCs w:val="2"/>
              </w:rPr>
            </w:pPr>
          </w:p>
        </w:tc>
        <w:tc>
          <w:tcPr>
            <w:tcW w:w="852" w:type="dxa"/>
          </w:tcPr>
          <w:p>
            <w:pPr>
              <w:pStyle w:val="TableParagraph"/>
              <w:rPr>
                <w:sz w:val="20"/>
              </w:rPr>
            </w:pPr>
          </w:p>
        </w:tc>
      </w:tr>
      <w:tr>
        <w:trPr>
          <w:trHeight w:val="1520" w:hRule="atLeast"/>
        </w:trPr>
        <w:tc>
          <w:tcPr>
            <w:tcW w:w="546" w:type="dxa"/>
          </w:tcPr>
          <w:p>
            <w:pPr>
              <w:pStyle w:val="TableParagraph"/>
              <w:rPr>
                <w:rFonts w:ascii="Arial Narrow"/>
                <w:b/>
                <w:sz w:val="22"/>
              </w:rPr>
            </w:pPr>
          </w:p>
          <w:p>
            <w:pPr>
              <w:pStyle w:val="TableParagraph"/>
              <w:spacing w:before="2"/>
              <w:rPr>
                <w:rFonts w:ascii="Arial Narrow"/>
                <w:b/>
                <w:sz w:val="26"/>
              </w:rPr>
            </w:pPr>
          </w:p>
          <w:p>
            <w:pPr>
              <w:pStyle w:val="TableParagraph"/>
              <w:ind w:left="200"/>
              <w:rPr>
                <w:rFonts w:ascii="Wingdings" w:hAnsi="Wingdings"/>
                <w:sz w:val="20"/>
              </w:rPr>
            </w:pPr>
            <w:r>
              <w:rPr>
                <w:rFonts w:ascii="Wingdings" w:hAnsi="Wingdings"/>
                <w:w w:val="99"/>
                <w:sz w:val="20"/>
              </w:rPr>
              <w:t></w:t>
            </w:r>
          </w:p>
        </w:tc>
        <w:tc>
          <w:tcPr>
            <w:tcW w:w="5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67"/>
              <w:rPr>
                <w:b/>
                <w:sz w:val="20"/>
              </w:rPr>
            </w:pPr>
            <w:r>
              <w:rPr>
                <w:b/>
                <w:sz w:val="20"/>
              </w:rPr>
              <w:t>41</w:t>
            </w:r>
          </w:p>
        </w:tc>
        <w:tc>
          <w:tcPr>
            <w:tcW w:w="67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64" w:right="165"/>
              <w:jc w:val="center"/>
              <w:rPr>
                <w:sz w:val="20"/>
              </w:rPr>
            </w:pPr>
            <w:r>
              <w:rPr>
                <w:sz w:val="20"/>
              </w:rPr>
              <w:t>741</w:t>
            </w:r>
          </w:p>
        </w:tc>
        <w:tc>
          <w:tcPr>
            <w:tcW w:w="126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3"/>
              <w:rPr>
                <w:b/>
                <w:sz w:val="20"/>
              </w:rPr>
            </w:pPr>
            <w:r>
              <w:rPr>
                <w:b/>
                <w:w w:val="99"/>
                <w:sz w:val="20"/>
              </w:rPr>
              <w:t>*</w:t>
            </w:r>
          </w:p>
        </w:tc>
        <w:tc>
          <w:tcPr>
            <w:tcW w:w="5683" w:type="dxa"/>
          </w:tcPr>
          <w:p>
            <w:pPr>
              <w:pStyle w:val="TableParagraph"/>
              <w:spacing w:before="165"/>
              <w:ind w:left="974"/>
              <w:rPr>
                <w:b/>
                <w:sz w:val="20"/>
              </w:rPr>
            </w:pPr>
            <w:r>
              <w:rPr>
                <w:b/>
                <w:sz w:val="20"/>
                <w:u w:val="single"/>
              </w:rPr>
              <w:t>Item 41 – Goods for use in space projects</w:t>
            </w:r>
          </w:p>
          <w:p>
            <w:pPr>
              <w:pStyle w:val="TableParagraph"/>
              <w:spacing w:line="199" w:lineRule="auto" w:before="181"/>
              <w:ind w:left="974" w:right="244"/>
              <w:rPr>
                <w:rFonts w:ascii="TimesNewRomanPS-BoldItalicMT"/>
                <w:b/>
                <w:i/>
                <w:sz w:val="20"/>
              </w:rPr>
            </w:pPr>
            <w:r>
              <w:rPr>
                <w:b/>
                <w:sz w:val="20"/>
              </w:rPr>
              <w:t>Goods, as prescribed by by-law, that are for use in a space project authorised by the Minister administering the </w:t>
            </w:r>
            <w:r>
              <w:rPr>
                <w:rFonts w:ascii="TimesNewRomanPS-BoldItalicMT"/>
                <w:b/>
                <w:i/>
                <w:sz w:val="20"/>
              </w:rPr>
              <w:t>Space Activities (Launches and Returns) Act 2018</w:t>
            </w:r>
          </w:p>
        </w:tc>
        <w:tc>
          <w:tcPr>
            <w:tcW w:w="8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42" w:right="181"/>
              <w:jc w:val="center"/>
              <w:rPr>
                <w:b/>
                <w:sz w:val="20"/>
              </w:rPr>
            </w:pPr>
            <w:r>
              <w:rPr>
                <w:b/>
                <w:sz w:val="20"/>
              </w:rPr>
              <w:t>Free</w:t>
            </w:r>
          </w:p>
        </w:tc>
      </w:tr>
      <w:tr>
        <w:trPr>
          <w:trHeight w:val="546" w:hRule="atLeast"/>
        </w:trPr>
        <w:tc>
          <w:tcPr>
            <w:tcW w:w="546" w:type="dxa"/>
          </w:tcPr>
          <w:p>
            <w:pPr>
              <w:pStyle w:val="TableParagraph"/>
              <w:rPr>
                <w:sz w:val="20"/>
              </w:rPr>
            </w:pPr>
          </w:p>
        </w:tc>
        <w:tc>
          <w:tcPr>
            <w:tcW w:w="552" w:type="dxa"/>
          </w:tcPr>
          <w:p>
            <w:pPr>
              <w:pStyle w:val="TableParagraph"/>
              <w:rPr>
                <w:sz w:val="20"/>
              </w:rPr>
            </w:pPr>
          </w:p>
        </w:tc>
        <w:tc>
          <w:tcPr>
            <w:tcW w:w="670" w:type="dxa"/>
          </w:tcPr>
          <w:p>
            <w:pPr>
              <w:pStyle w:val="TableParagraph"/>
              <w:rPr>
                <w:sz w:val="20"/>
              </w:rPr>
            </w:pPr>
          </w:p>
        </w:tc>
        <w:tc>
          <w:tcPr>
            <w:tcW w:w="1260" w:type="dxa"/>
          </w:tcPr>
          <w:p>
            <w:pPr>
              <w:pStyle w:val="TableParagraph"/>
              <w:rPr>
                <w:sz w:val="20"/>
              </w:rPr>
            </w:pPr>
          </w:p>
        </w:tc>
        <w:tc>
          <w:tcPr>
            <w:tcW w:w="5683" w:type="dxa"/>
          </w:tcPr>
          <w:p>
            <w:pPr>
              <w:pStyle w:val="TableParagraph"/>
              <w:spacing w:before="165"/>
              <w:ind w:left="974"/>
              <w:rPr>
                <w:b/>
                <w:sz w:val="24"/>
              </w:rPr>
            </w:pPr>
            <w:r>
              <w:rPr>
                <w:b/>
                <w:sz w:val="24"/>
                <w:u w:val="thick"/>
              </w:rPr>
              <w:t>Goods that are robots or prototypes</w:t>
            </w:r>
          </w:p>
        </w:tc>
        <w:tc>
          <w:tcPr>
            <w:tcW w:w="852" w:type="dxa"/>
          </w:tcPr>
          <w:p>
            <w:pPr>
              <w:pStyle w:val="TableParagraph"/>
              <w:rPr>
                <w:sz w:val="20"/>
              </w:rPr>
            </w:pPr>
          </w:p>
        </w:tc>
      </w:tr>
      <w:tr>
        <w:trPr>
          <w:trHeight w:val="1262" w:hRule="atLeast"/>
        </w:trPr>
        <w:tc>
          <w:tcPr>
            <w:tcW w:w="546" w:type="dxa"/>
          </w:tcPr>
          <w:p>
            <w:pPr>
              <w:pStyle w:val="TableParagraph"/>
              <w:rPr>
                <w:sz w:val="20"/>
              </w:rPr>
            </w:pPr>
          </w:p>
        </w:tc>
        <w:tc>
          <w:tcPr>
            <w:tcW w:w="55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67"/>
              <w:rPr>
                <w:b/>
                <w:sz w:val="20"/>
              </w:rPr>
            </w:pPr>
            <w:r>
              <w:rPr>
                <w:b/>
                <w:sz w:val="20"/>
              </w:rPr>
              <w:t>42</w:t>
            </w:r>
          </w:p>
        </w:tc>
        <w:tc>
          <w:tcPr>
            <w:tcW w:w="67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64" w:right="165"/>
              <w:jc w:val="center"/>
              <w:rPr>
                <w:sz w:val="20"/>
              </w:rPr>
            </w:pPr>
            <w:r>
              <w:rPr>
                <w:sz w:val="20"/>
              </w:rPr>
              <w:t>742</w:t>
            </w:r>
          </w:p>
        </w:tc>
        <w:tc>
          <w:tcPr>
            <w:tcW w:w="126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3"/>
              <w:rPr>
                <w:b/>
                <w:sz w:val="20"/>
              </w:rPr>
            </w:pPr>
            <w:r>
              <w:rPr>
                <w:b/>
                <w:w w:val="99"/>
                <w:sz w:val="20"/>
              </w:rPr>
              <w:t>*</w:t>
            </w:r>
          </w:p>
        </w:tc>
        <w:tc>
          <w:tcPr>
            <w:tcW w:w="5683" w:type="dxa"/>
          </w:tcPr>
          <w:p>
            <w:pPr>
              <w:pStyle w:val="TableParagraph"/>
              <w:spacing w:before="97"/>
              <w:ind w:left="974"/>
              <w:jc w:val="both"/>
              <w:rPr>
                <w:b/>
                <w:sz w:val="20"/>
              </w:rPr>
            </w:pPr>
            <w:r>
              <w:rPr>
                <w:b/>
                <w:sz w:val="20"/>
                <w:u w:val="single"/>
              </w:rPr>
              <w:t>Item 42 – Robots</w:t>
            </w:r>
          </w:p>
          <w:p>
            <w:pPr>
              <w:pStyle w:val="TableParagraph"/>
              <w:spacing w:line="196" w:lineRule="auto" w:before="185"/>
              <w:ind w:left="974" w:right="939"/>
              <w:jc w:val="both"/>
              <w:rPr>
                <w:b/>
                <w:sz w:val="20"/>
              </w:rPr>
            </w:pPr>
            <w:r>
              <w:rPr>
                <w:b/>
                <w:sz w:val="20"/>
              </w:rPr>
              <w:t>Robots, as prescribed by by-law, or parts or accessories that are suitable for use solely </w:t>
            </w:r>
            <w:r>
              <w:rPr>
                <w:b/>
                <w:spacing w:val="-6"/>
                <w:sz w:val="20"/>
              </w:rPr>
              <w:t>or </w:t>
            </w:r>
            <w:r>
              <w:rPr>
                <w:b/>
                <w:sz w:val="20"/>
              </w:rPr>
              <w:t>principally with such robots</w:t>
            </w:r>
          </w:p>
        </w:tc>
        <w:tc>
          <w:tcPr>
            <w:tcW w:w="85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42" w:right="181"/>
              <w:jc w:val="center"/>
              <w:rPr>
                <w:b/>
                <w:sz w:val="20"/>
              </w:rPr>
            </w:pPr>
            <w:r>
              <w:rPr>
                <w:b/>
                <w:sz w:val="20"/>
              </w:rPr>
              <w:t>Free</w:t>
            </w:r>
          </w:p>
        </w:tc>
      </w:tr>
      <w:tr>
        <w:trPr>
          <w:trHeight w:val="964" w:hRule="atLeast"/>
        </w:trPr>
        <w:tc>
          <w:tcPr>
            <w:tcW w:w="546" w:type="dxa"/>
          </w:tcPr>
          <w:p>
            <w:pPr>
              <w:pStyle w:val="TableParagraph"/>
              <w:rPr>
                <w:sz w:val="20"/>
              </w:rPr>
            </w:pPr>
          </w:p>
        </w:tc>
        <w:tc>
          <w:tcPr>
            <w:tcW w:w="552" w:type="dxa"/>
          </w:tcPr>
          <w:p>
            <w:pPr>
              <w:pStyle w:val="TableParagraph"/>
              <w:rPr>
                <w:rFonts w:ascii="Arial Narrow"/>
                <w:b/>
                <w:sz w:val="22"/>
              </w:rPr>
            </w:pPr>
          </w:p>
          <w:p>
            <w:pPr>
              <w:pStyle w:val="TableParagraph"/>
              <w:spacing w:before="8"/>
              <w:rPr>
                <w:rFonts w:ascii="Arial Narrow"/>
                <w:b/>
                <w:sz w:val="25"/>
              </w:rPr>
            </w:pPr>
          </w:p>
          <w:p>
            <w:pPr>
              <w:pStyle w:val="TableParagraph"/>
              <w:ind w:left="167"/>
              <w:rPr>
                <w:b/>
                <w:sz w:val="20"/>
              </w:rPr>
            </w:pPr>
            <w:r>
              <w:rPr>
                <w:b/>
                <w:sz w:val="20"/>
              </w:rPr>
              <w:t>43</w:t>
            </w:r>
          </w:p>
        </w:tc>
        <w:tc>
          <w:tcPr>
            <w:tcW w:w="670" w:type="dxa"/>
          </w:tcPr>
          <w:p>
            <w:pPr>
              <w:pStyle w:val="TableParagraph"/>
              <w:rPr>
                <w:rFonts w:ascii="Arial Narrow"/>
                <w:b/>
                <w:sz w:val="22"/>
              </w:rPr>
            </w:pPr>
          </w:p>
          <w:p>
            <w:pPr>
              <w:pStyle w:val="TableParagraph"/>
              <w:spacing w:before="8"/>
              <w:rPr>
                <w:rFonts w:ascii="Arial Narrow"/>
                <w:b/>
                <w:sz w:val="25"/>
              </w:rPr>
            </w:pPr>
          </w:p>
          <w:p>
            <w:pPr>
              <w:pStyle w:val="TableParagraph"/>
              <w:ind w:left="164" w:right="165"/>
              <w:jc w:val="center"/>
              <w:rPr>
                <w:sz w:val="20"/>
              </w:rPr>
            </w:pPr>
            <w:r>
              <w:rPr>
                <w:sz w:val="20"/>
              </w:rPr>
              <w:t>743</w:t>
            </w:r>
          </w:p>
        </w:tc>
        <w:tc>
          <w:tcPr>
            <w:tcW w:w="1260" w:type="dxa"/>
          </w:tcPr>
          <w:p>
            <w:pPr>
              <w:pStyle w:val="TableParagraph"/>
              <w:rPr>
                <w:rFonts w:ascii="Arial Narrow"/>
                <w:b/>
                <w:sz w:val="22"/>
              </w:rPr>
            </w:pPr>
          </w:p>
          <w:p>
            <w:pPr>
              <w:pStyle w:val="TableParagraph"/>
              <w:spacing w:before="8"/>
              <w:rPr>
                <w:rFonts w:ascii="Arial Narrow"/>
                <w:b/>
                <w:sz w:val="25"/>
              </w:rPr>
            </w:pPr>
          </w:p>
          <w:p>
            <w:pPr>
              <w:pStyle w:val="TableParagraph"/>
              <w:ind w:left="183"/>
              <w:rPr>
                <w:b/>
                <w:sz w:val="20"/>
              </w:rPr>
            </w:pPr>
            <w:r>
              <w:rPr>
                <w:b/>
                <w:w w:val="99"/>
                <w:sz w:val="20"/>
              </w:rPr>
              <w:t>*</w:t>
            </w:r>
          </w:p>
        </w:tc>
        <w:tc>
          <w:tcPr>
            <w:tcW w:w="5683" w:type="dxa"/>
          </w:tcPr>
          <w:p>
            <w:pPr>
              <w:pStyle w:val="TableParagraph"/>
              <w:spacing w:before="166"/>
              <w:ind w:left="974"/>
              <w:rPr>
                <w:b/>
                <w:sz w:val="20"/>
              </w:rPr>
            </w:pPr>
            <w:r>
              <w:rPr>
                <w:b/>
                <w:sz w:val="20"/>
                <w:u w:val="single"/>
              </w:rPr>
              <w:t>Item 43 – Goods for use as prototypes</w:t>
            </w:r>
          </w:p>
          <w:p>
            <w:pPr>
              <w:pStyle w:val="TableParagraph"/>
              <w:spacing w:line="190" w:lineRule="exact" w:before="184"/>
              <w:ind w:left="974" w:right="383"/>
              <w:rPr>
                <w:b/>
                <w:sz w:val="20"/>
              </w:rPr>
            </w:pPr>
            <w:r>
              <w:rPr>
                <w:b/>
                <w:sz w:val="20"/>
              </w:rPr>
              <w:t>Goods, as prescribed by by-law, that are for use as prototypes</w:t>
            </w:r>
          </w:p>
        </w:tc>
        <w:tc>
          <w:tcPr>
            <w:tcW w:w="852" w:type="dxa"/>
          </w:tcPr>
          <w:p>
            <w:pPr>
              <w:pStyle w:val="TableParagraph"/>
              <w:rPr>
                <w:rFonts w:ascii="Arial Narrow"/>
                <w:b/>
                <w:sz w:val="22"/>
              </w:rPr>
            </w:pPr>
          </w:p>
          <w:p>
            <w:pPr>
              <w:pStyle w:val="TableParagraph"/>
              <w:spacing w:before="8"/>
              <w:rPr>
                <w:rFonts w:ascii="Arial Narrow"/>
                <w:b/>
                <w:sz w:val="25"/>
              </w:rPr>
            </w:pPr>
          </w:p>
          <w:p>
            <w:pPr>
              <w:pStyle w:val="TableParagraph"/>
              <w:ind w:left="242" w:right="181"/>
              <w:jc w:val="center"/>
              <w:rPr>
                <w:b/>
                <w:sz w:val="20"/>
              </w:rPr>
            </w:pPr>
            <w:r>
              <w:rPr>
                <w:b/>
                <w:sz w:val="20"/>
              </w:rPr>
              <w:t>Free</w:t>
            </w:r>
          </w:p>
        </w:tc>
      </w:tr>
    </w:tbl>
    <w:p>
      <w:pPr>
        <w:spacing w:after="0"/>
        <w:jc w:val="center"/>
        <w:rPr>
          <w:sz w:val="20"/>
        </w:rPr>
        <w:sectPr>
          <w:type w:val="continuous"/>
          <w:pgSz w:w="11910" w:h="16840"/>
          <w:pgMar w:top="0" w:bottom="280" w:left="0" w:right="0"/>
        </w:sectPr>
      </w:pPr>
    </w:p>
    <w:p>
      <w:pPr>
        <w:pStyle w:val="BodyText"/>
        <w:spacing w:before="9" w:after="1"/>
        <w:rPr>
          <w:sz w:val="16"/>
        </w:rPr>
      </w:pPr>
    </w:p>
    <w:tbl>
      <w:tblPr>
        <w:tblW w:w="0" w:type="auto"/>
        <w:jc w:val="left"/>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1223"/>
        <w:gridCol w:w="1254"/>
        <w:gridCol w:w="5630"/>
        <w:gridCol w:w="908"/>
      </w:tblGrid>
      <w:tr>
        <w:trPr>
          <w:trHeight w:val="371" w:hRule="atLeast"/>
        </w:trPr>
        <w:tc>
          <w:tcPr>
            <w:tcW w:w="547" w:type="dxa"/>
          </w:tcPr>
          <w:p>
            <w:pPr>
              <w:pStyle w:val="TableParagraph"/>
              <w:rPr>
                <w:sz w:val="20"/>
              </w:rPr>
            </w:pPr>
          </w:p>
        </w:tc>
        <w:tc>
          <w:tcPr>
            <w:tcW w:w="1223" w:type="dxa"/>
          </w:tcPr>
          <w:p>
            <w:pPr>
              <w:pStyle w:val="TableParagraph"/>
              <w:rPr>
                <w:sz w:val="20"/>
              </w:rPr>
            </w:pPr>
          </w:p>
        </w:tc>
        <w:tc>
          <w:tcPr>
            <w:tcW w:w="1254" w:type="dxa"/>
          </w:tcPr>
          <w:p>
            <w:pPr>
              <w:pStyle w:val="TableParagraph"/>
              <w:rPr>
                <w:sz w:val="20"/>
              </w:rPr>
            </w:pPr>
          </w:p>
        </w:tc>
        <w:tc>
          <w:tcPr>
            <w:tcW w:w="5630" w:type="dxa"/>
          </w:tcPr>
          <w:p>
            <w:pPr>
              <w:pStyle w:val="TableParagraph"/>
              <w:spacing w:line="266" w:lineRule="exact"/>
              <w:ind w:left="968"/>
              <w:rPr>
                <w:b/>
                <w:sz w:val="24"/>
              </w:rPr>
            </w:pPr>
            <w:r>
              <w:rPr>
                <w:b/>
                <w:sz w:val="24"/>
                <w:u w:val="thick"/>
              </w:rPr>
              <w:t>Goods relating to manufacturing</w:t>
            </w:r>
          </w:p>
        </w:tc>
        <w:tc>
          <w:tcPr>
            <w:tcW w:w="908" w:type="dxa"/>
          </w:tcPr>
          <w:p>
            <w:pPr>
              <w:pStyle w:val="TableParagraph"/>
              <w:rPr>
                <w:sz w:val="20"/>
              </w:rPr>
            </w:pPr>
          </w:p>
        </w:tc>
      </w:tr>
      <w:tr>
        <w:trPr>
          <w:trHeight w:val="5535" w:hRule="atLeast"/>
        </w:trPr>
        <w:tc>
          <w:tcPr>
            <w:tcW w:w="547" w:type="dxa"/>
          </w:tcPr>
          <w:p>
            <w:pPr>
              <w:pStyle w:val="TableParagraph"/>
              <w:rPr>
                <w:rFonts w:ascii="Arial Narrow"/>
                <w:b/>
                <w:sz w:val="22"/>
              </w:rPr>
            </w:pPr>
          </w:p>
          <w:p>
            <w:pPr>
              <w:pStyle w:val="TableParagraph"/>
              <w:rPr>
                <w:rFonts w:ascii="Arial Narrow"/>
                <w:b/>
                <w:sz w:val="22"/>
              </w:rPr>
            </w:pPr>
          </w:p>
          <w:p>
            <w:pPr>
              <w:pStyle w:val="TableParagraph"/>
              <w:spacing w:before="169"/>
              <w:ind w:left="200"/>
              <w:rPr>
                <w:rFonts w:ascii="Wingdings" w:hAnsi="Wingdings"/>
                <w:sz w:val="20"/>
              </w:rPr>
            </w:pPr>
            <w:r>
              <w:rPr>
                <w:rFonts w:ascii="Wingdings" w:hAnsi="Wingdings"/>
                <w:w w:val="99"/>
                <w:sz w:val="20"/>
              </w:rPr>
              <w:t></w:t>
            </w:r>
          </w:p>
        </w:tc>
        <w:tc>
          <w:tcPr>
            <w:tcW w:w="1223" w:type="dxa"/>
          </w:tcPr>
          <w:p>
            <w:pPr>
              <w:pStyle w:val="TableParagraph"/>
              <w:rPr>
                <w:rFonts w:ascii="Arial Narrow"/>
                <w:b/>
                <w:sz w:val="22"/>
              </w:rPr>
            </w:pPr>
          </w:p>
          <w:p>
            <w:pPr>
              <w:pStyle w:val="TableParagraph"/>
              <w:rPr>
                <w:rFonts w:ascii="Arial Narrow"/>
                <w:b/>
                <w:sz w:val="22"/>
              </w:rPr>
            </w:pPr>
          </w:p>
          <w:p>
            <w:pPr>
              <w:pStyle w:val="TableParagraph"/>
              <w:spacing w:before="162"/>
              <w:ind w:left="169"/>
              <w:rPr>
                <w:b/>
                <w:sz w:val="20"/>
              </w:rPr>
            </w:pPr>
            <w:r>
              <w:rPr>
                <w:b/>
                <w:sz w:val="20"/>
              </w:rPr>
              <w:t>44</w:t>
            </w:r>
          </w:p>
        </w:tc>
        <w:tc>
          <w:tcPr>
            <w:tcW w:w="1254" w:type="dxa"/>
          </w:tcPr>
          <w:p>
            <w:pPr>
              <w:pStyle w:val="TableParagraph"/>
              <w:rPr>
                <w:sz w:val="20"/>
              </w:rPr>
            </w:pPr>
          </w:p>
        </w:tc>
        <w:tc>
          <w:tcPr>
            <w:tcW w:w="5630" w:type="dxa"/>
          </w:tcPr>
          <w:p>
            <w:pPr>
              <w:pStyle w:val="TableParagraph"/>
              <w:spacing w:line="196" w:lineRule="auto" w:before="130"/>
              <w:ind w:left="968" w:right="431"/>
              <w:rPr>
                <w:b/>
                <w:sz w:val="20"/>
              </w:rPr>
            </w:pPr>
            <w:r>
              <w:rPr>
                <w:b/>
                <w:sz w:val="20"/>
                <w:u w:val="single"/>
              </w:rPr>
              <w:t>Item 44 – Capital equipment for major projects –</w:t>
            </w:r>
            <w:r>
              <w:rPr>
                <w:b/>
                <w:sz w:val="20"/>
              </w:rPr>
              <w:t> </w:t>
            </w:r>
            <w:r>
              <w:rPr>
                <w:b/>
                <w:sz w:val="20"/>
                <w:u w:val="single"/>
              </w:rPr>
              <w:t>Enhanced Project By-law Scheme</w:t>
            </w:r>
          </w:p>
          <w:p>
            <w:pPr>
              <w:pStyle w:val="TableParagraph"/>
              <w:spacing w:line="196" w:lineRule="auto" w:before="192"/>
              <w:ind w:left="968" w:right="431"/>
              <w:rPr>
                <w:b/>
                <w:sz w:val="20"/>
              </w:rPr>
            </w:pPr>
            <w:r>
              <w:rPr>
                <w:b/>
                <w:sz w:val="20"/>
              </w:rPr>
              <w:t>Goods, including machinery, equipment, or their components, as prescribed by by-law, that are entered for home consumption on or before</w:t>
            </w:r>
          </w:p>
          <w:p>
            <w:pPr>
              <w:pStyle w:val="TableParagraph"/>
              <w:spacing w:line="196" w:lineRule="auto" w:before="5"/>
              <w:ind w:left="968" w:right="631"/>
              <w:rPr>
                <w:b/>
                <w:sz w:val="20"/>
              </w:rPr>
            </w:pPr>
            <w:r>
              <w:rPr>
                <w:b/>
                <w:sz w:val="20"/>
              </w:rPr>
              <w:t>31 December 2017 and are for use in any of the following industries:</w:t>
            </w:r>
          </w:p>
          <w:p>
            <w:pPr>
              <w:pStyle w:val="TableParagraph"/>
              <w:numPr>
                <w:ilvl w:val="0"/>
                <w:numId w:val="4"/>
              </w:numPr>
              <w:tabs>
                <w:tab w:pos="1252" w:val="left" w:leader="none"/>
              </w:tabs>
              <w:spacing w:line="240" w:lineRule="auto" w:before="158" w:after="0"/>
              <w:ind w:left="1251" w:right="0" w:hanging="284"/>
              <w:jc w:val="left"/>
              <w:rPr>
                <w:b/>
                <w:sz w:val="20"/>
              </w:rPr>
            </w:pPr>
            <w:r>
              <w:rPr>
                <w:b/>
                <w:sz w:val="20"/>
              </w:rPr>
              <w:t>mining;</w:t>
            </w:r>
          </w:p>
          <w:p>
            <w:pPr>
              <w:pStyle w:val="TableParagraph"/>
              <w:numPr>
                <w:ilvl w:val="0"/>
                <w:numId w:val="4"/>
              </w:numPr>
              <w:tabs>
                <w:tab w:pos="1252" w:val="left" w:leader="none"/>
              </w:tabs>
              <w:spacing w:line="240" w:lineRule="auto" w:before="150" w:after="0"/>
              <w:ind w:left="1251" w:right="0" w:hanging="284"/>
              <w:jc w:val="left"/>
              <w:rPr>
                <w:b/>
                <w:sz w:val="20"/>
              </w:rPr>
            </w:pPr>
            <w:r>
              <w:rPr>
                <w:b/>
                <w:sz w:val="20"/>
              </w:rPr>
              <w:t>resource</w:t>
            </w:r>
            <w:r>
              <w:rPr>
                <w:b/>
                <w:spacing w:val="-1"/>
                <w:sz w:val="20"/>
              </w:rPr>
              <w:t> </w:t>
            </w:r>
            <w:r>
              <w:rPr>
                <w:b/>
                <w:sz w:val="20"/>
              </w:rPr>
              <w:t>processing;</w:t>
            </w:r>
          </w:p>
          <w:p>
            <w:pPr>
              <w:pStyle w:val="TableParagraph"/>
              <w:numPr>
                <w:ilvl w:val="0"/>
                <w:numId w:val="4"/>
              </w:numPr>
              <w:tabs>
                <w:tab w:pos="1252" w:val="left" w:leader="none"/>
              </w:tabs>
              <w:spacing w:line="240" w:lineRule="auto" w:before="152" w:after="0"/>
              <w:ind w:left="1251" w:right="0" w:hanging="284"/>
              <w:jc w:val="left"/>
              <w:rPr>
                <w:b/>
                <w:sz w:val="20"/>
              </w:rPr>
            </w:pPr>
            <w:r>
              <w:rPr>
                <w:b/>
                <w:sz w:val="20"/>
              </w:rPr>
              <w:t>agriculture;</w:t>
            </w:r>
          </w:p>
          <w:p>
            <w:pPr>
              <w:pStyle w:val="TableParagraph"/>
              <w:numPr>
                <w:ilvl w:val="0"/>
                <w:numId w:val="4"/>
              </w:numPr>
              <w:tabs>
                <w:tab w:pos="1252" w:val="left" w:leader="none"/>
              </w:tabs>
              <w:spacing w:line="240" w:lineRule="auto" w:before="149" w:after="0"/>
              <w:ind w:left="1251" w:right="0" w:hanging="284"/>
              <w:jc w:val="left"/>
              <w:rPr>
                <w:b/>
                <w:sz w:val="20"/>
              </w:rPr>
            </w:pPr>
            <w:r>
              <w:rPr>
                <w:b/>
                <w:sz w:val="20"/>
              </w:rPr>
              <w:t>food</w:t>
            </w:r>
            <w:r>
              <w:rPr>
                <w:b/>
                <w:spacing w:val="-6"/>
                <w:sz w:val="20"/>
              </w:rPr>
              <w:t> </w:t>
            </w:r>
            <w:r>
              <w:rPr>
                <w:b/>
                <w:sz w:val="20"/>
              </w:rPr>
              <w:t>processing;</w:t>
            </w:r>
          </w:p>
          <w:p>
            <w:pPr>
              <w:pStyle w:val="TableParagraph"/>
              <w:numPr>
                <w:ilvl w:val="0"/>
                <w:numId w:val="4"/>
              </w:numPr>
              <w:tabs>
                <w:tab w:pos="1252" w:val="left" w:leader="none"/>
              </w:tabs>
              <w:spacing w:line="240" w:lineRule="auto" w:before="149" w:after="0"/>
              <w:ind w:left="1251" w:right="0" w:hanging="284"/>
              <w:jc w:val="left"/>
              <w:rPr>
                <w:b/>
                <w:sz w:val="20"/>
              </w:rPr>
            </w:pPr>
            <w:r>
              <w:rPr>
                <w:b/>
                <w:sz w:val="20"/>
              </w:rPr>
              <w:t>food</w:t>
            </w:r>
            <w:r>
              <w:rPr>
                <w:b/>
                <w:spacing w:val="-6"/>
                <w:sz w:val="20"/>
              </w:rPr>
              <w:t> </w:t>
            </w:r>
            <w:r>
              <w:rPr>
                <w:b/>
                <w:sz w:val="20"/>
              </w:rPr>
              <w:t>packaging;</w:t>
            </w:r>
          </w:p>
          <w:p>
            <w:pPr>
              <w:pStyle w:val="TableParagraph"/>
              <w:numPr>
                <w:ilvl w:val="0"/>
                <w:numId w:val="4"/>
              </w:numPr>
              <w:tabs>
                <w:tab w:pos="1252" w:val="left" w:leader="none"/>
              </w:tabs>
              <w:spacing w:line="196" w:lineRule="auto" w:before="185" w:after="0"/>
              <w:ind w:left="1251" w:right="319" w:hanging="284"/>
              <w:jc w:val="left"/>
              <w:rPr>
                <w:b/>
                <w:sz w:val="20"/>
              </w:rPr>
            </w:pPr>
            <w:r>
              <w:rPr>
                <w:b/>
                <w:sz w:val="20"/>
              </w:rPr>
              <w:t>manufacturing (within the meaning of the </w:t>
            </w:r>
            <w:r>
              <w:rPr>
                <w:rFonts w:ascii="TimesNewRomanPS-BoldItalicMT"/>
                <w:b/>
                <w:i/>
                <w:sz w:val="20"/>
              </w:rPr>
              <w:t>Australian and New Zealand Standard</w:t>
            </w:r>
            <w:r>
              <w:rPr>
                <w:rFonts w:ascii="TimesNewRomanPS-BoldItalicMT"/>
                <w:b/>
                <w:i/>
                <w:spacing w:val="-15"/>
                <w:sz w:val="20"/>
              </w:rPr>
              <w:t> </w:t>
            </w:r>
            <w:r>
              <w:rPr>
                <w:rFonts w:ascii="TimesNewRomanPS-BoldItalicMT"/>
                <w:b/>
                <w:i/>
                <w:sz w:val="20"/>
              </w:rPr>
              <w:t>Industrial Classification</w:t>
            </w:r>
            <w:r>
              <w:rPr>
                <w:rFonts w:ascii="TimesNewRomanPS-BoldItalicMT"/>
                <w:b/>
                <w:i/>
                <w:spacing w:val="-2"/>
                <w:sz w:val="20"/>
              </w:rPr>
              <w:t> </w:t>
            </w:r>
            <w:r>
              <w:rPr>
                <w:rFonts w:ascii="TimesNewRomanPS-BoldItalicMT"/>
                <w:b/>
                <w:i/>
                <w:sz w:val="20"/>
              </w:rPr>
              <w:t>(ANZSIC)</w:t>
            </w:r>
            <w:r>
              <w:rPr>
                <w:b/>
                <w:sz w:val="20"/>
              </w:rPr>
              <w:t>);</w:t>
            </w:r>
          </w:p>
          <w:p>
            <w:pPr>
              <w:pStyle w:val="TableParagraph"/>
              <w:numPr>
                <w:ilvl w:val="0"/>
                <w:numId w:val="4"/>
              </w:numPr>
              <w:tabs>
                <w:tab w:pos="1252" w:val="left" w:leader="none"/>
              </w:tabs>
              <w:spacing w:line="240" w:lineRule="auto" w:before="159" w:after="0"/>
              <w:ind w:left="1251" w:right="0" w:hanging="284"/>
              <w:jc w:val="left"/>
              <w:rPr>
                <w:b/>
                <w:sz w:val="20"/>
              </w:rPr>
            </w:pPr>
            <w:r>
              <w:rPr>
                <w:b/>
                <w:sz w:val="20"/>
              </w:rPr>
              <w:t>gas</w:t>
            </w:r>
            <w:r>
              <w:rPr>
                <w:b/>
                <w:spacing w:val="-2"/>
                <w:sz w:val="20"/>
              </w:rPr>
              <w:t> </w:t>
            </w:r>
            <w:r>
              <w:rPr>
                <w:b/>
                <w:sz w:val="20"/>
              </w:rPr>
              <w:t>supply;</w:t>
            </w:r>
          </w:p>
          <w:p>
            <w:pPr>
              <w:pStyle w:val="TableParagraph"/>
              <w:numPr>
                <w:ilvl w:val="0"/>
                <w:numId w:val="4"/>
              </w:numPr>
              <w:tabs>
                <w:tab w:pos="1252" w:val="left" w:leader="none"/>
              </w:tabs>
              <w:spacing w:line="240" w:lineRule="auto" w:before="152" w:after="0"/>
              <w:ind w:left="1251" w:right="0" w:hanging="284"/>
              <w:jc w:val="left"/>
              <w:rPr>
                <w:b/>
                <w:sz w:val="20"/>
              </w:rPr>
            </w:pPr>
            <w:r>
              <w:rPr>
                <w:b/>
                <w:sz w:val="20"/>
              </w:rPr>
              <w:t>power</w:t>
            </w:r>
            <w:r>
              <w:rPr>
                <w:b/>
                <w:spacing w:val="-1"/>
                <w:sz w:val="20"/>
              </w:rPr>
              <w:t> </w:t>
            </w:r>
            <w:r>
              <w:rPr>
                <w:b/>
                <w:sz w:val="20"/>
              </w:rPr>
              <w:t>supply;</w:t>
            </w:r>
          </w:p>
          <w:p>
            <w:pPr>
              <w:pStyle w:val="TableParagraph"/>
              <w:numPr>
                <w:ilvl w:val="0"/>
                <w:numId w:val="4"/>
              </w:numPr>
              <w:tabs>
                <w:tab w:pos="1252" w:val="left" w:leader="none"/>
              </w:tabs>
              <w:spacing w:line="240" w:lineRule="auto" w:before="149" w:after="0"/>
              <w:ind w:left="1251" w:right="0" w:hanging="284"/>
              <w:jc w:val="left"/>
              <w:rPr>
                <w:b/>
                <w:sz w:val="20"/>
              </w:rPr>
            </w:pPr>
            <w:r>
              <w:rPr>
                <w:b/>
                <w:sz w:val="20"/>
              </w:rPr>
              <w:t>water</w:t>
            </w:r>
            <w:r>
              <w:rPr>
                <w:b/>
                <w:spacing w:val="-3"/>
                <w:sz w:val="20"/>
              </w:rPr>
              <w:t> </w:t>
            </w:r>
            <w:r>
              <w:rPr>
                <w:b/>
                <w:sz w:val="20"/>
              </w:rPr>
              <w:t>supply</w:t>
            </w:r>
          </w:p>
        </w:tc>
        <w:tc>
          <w:tcPr>
            <w:tcW w:w="908" w:type="dxa"/>
          </w:tcPr>
          <w:p>
            <w:pPr>
              <w:pStyle w:val="TableParagraph"/>
              <w:rPr>
                <w:rFonts w:ascii="Arial Narrow"/>
                <w:b/>
                <w:sz w:val="22"/>
              </w:rPr>
            </w:pPr>
          </w:p>
          <w:p>
            <w:pPr>
              <w:pStyle w:val="TableParagraph"/>
              <w:rPr>
                <w:rFonts w:ascii="Arial Narrow"/>
                <w:b/>
                <w:sz w:val="22"/>
              </w:rPr>
            </w:pPr>
          </w:p>
          <w:p>
            <w:pPr>
              <w:pStyle w:val="TableParagraph"/>
              <w:spacing w:before="162"/>
              <w:ind w:left="319"/>
              <w:rPr>
                <w:b/>
                <w:sz w:val="20"/>
              </w:rPr>
            </w:pPr>
            <w:r>
              <w:rPr>
                <w:b/>
                <w:sz w:val="20"/>
              </w:rPr>
              <w:t>Free</w:t>
            </w:r>
          </w:p>
        </w:tc>
      </w:tr>
      <w:tr>
        <w:trPr>
          <w:trHeight w:val="761" w:hRule="atLeast"/>
        </w:trPr>
        <w:tc>
          <w:tcPr>
            <w:tcW w:w="547" w:type="dxa"/>
          </w:tcPr>
          <w:p>
            <w:pPr>
              <w:pStyle w:val="TableParagraph"/>
              <w:rPr>
                <w:sz w:val="20"/>
              </w:rPr>
            </w:pPr>
          </w:p>
        </w:tc>
        <w:tc>
          <w:tcPr>
            <w:tcW w:w="1223" w:type="dxa"/>
          </w:tcPr>
          <w:p>
            <w:pPr>
              <w:pStyle w:val="TableParagraph"/>
              <w:spacing w:before="70"/>
              <w:ind w:right="183"/>
              <w:jc w:val="right"/>
              <w:rPr>
                <w:sz w:val="20"/>
              </w:rPr>
            </w:pPr>
            <w:r>
              <w:rPr>
                <w:sz w:val="20"/>
              </w:rPr>
              <w:t>471</w:t>
            </w:r>
          </w:p>
        </w:tc>
        <w:tc>
          <w:tcPr>
            <w:tcW w:w="1254" w:type="dxa"/>
          </w:tcPr>
          <w:p>
            <w:pPr>
              <w:pStyle w:val="TableParagraph"/>
              <w:spacing w:before="70"/>
              <w:ind w:left="184"/>
              <w:rPr>
                <w:b/>
                <w:sz w:val="20"/>
              </w:rPr>
            </w:pPr>
            <w:r>
              <w:rPr>
                <w:b/>
                <w:w w:val="99"/>
                <w:sz w:val="20"/>
              </w:rPr>
              <w:t>*</w:t>
            </w:r>
          </w:p>
        </w:tc>
        <w:tc>
          <w:tcPr>
            <w:tcW w:w="5630" w:type="dxa"/>
          </w:tcPr>
          <w:p>
            <w:pPr>
              <w:pStyle w:val="TableParagraph"/>
              <w:spacing w:line="201" w:lineRule="auto" w:before="100"/>
              <w:ind w:left="968"/>
              <w:rPr>
                <w:sz w:val="20"/>
              </w:rPr>
            </w:pPr>
            <w:r>
              <w:rPr>
                <w:sz w:val="20"/>
              </w:rPr>
              <w:t>Treatment Code 471 applies to goods specified in a Ministerial Determination that has validity</w:t>
            </w:r>
          </w:p>
          <w:p>
            <w:pPr>
              <w:pStyle w:val="TableParagraph"/>
              <w:spacing w:line="196" w:lineRule="exact"/>
              <w:ind w:left="968"/>
              <w:rPr>
                <w:sz w:val="20"/>
              </w:rPr>
            </w:pPr>
            <w:r>
              <w:rPr>
                <w:sz w:val="20"/>
              </w:rPr>
              <w:t>commencing prior to 1 March 2013 †</w:t>
            </w:r>
          </w:p>
        </w:tc>
        <w:tc>
          <w:tcPr>
            <w:tcW w:w="908" w:type="dxa"/>
          </w:tcPr>
          <w:p>
            <w:pPr>
              <w:pStyle w:val="TableParagraph"/>
              <w:rPr>
                <w:sz w:val="20"/>
              </w:rPr>
            </w:pPr>
          </w:p>
        </w:tc>
      </w:tr>
      <w:tr>
        <w:trPr>
          <w:trHeight w:val="1800" w:hRule="atLeast"/>
        </w:trPr>
        <w:tc>
          <w:tcPr>
            <w:tcW w:w="547" w:type="dxa"/>
          </w:tcPr>
          <w:p>
            <w:pPr>
              <w:pStyle w:val="TableParagraph"/>
              <w:rPr>
                <w:sz w:val="20"/>
              </w:rPr>
            </w:pPr>
          </w:p>
        </w:tc>
        <w:tc>
          <w:tcPr>
            <w:tcW w:w="1223" w:type="dxa"/>
          </w:tcPr>
          <w:p>
            <w:pPr>
              <w:pStyle w:val="TableParagraph"/>
              <w:spacing w:before="70"/>
              <w:ind w:right="183"/>
              <w:jc w:val="right"/>
              <w:rPr>
                <w:sz w:val="20"/>
              </w:rPr>
            </w:pPr>
            <w:r>
              <w:rPr>
                <w:sz w:val="20"/>
              </w:rPr>
              <w:t>744</w:t>
            </w:r>
          </w:p>
        </w:tc>
        <w:tc>
          <w:tcPr>
            <w:tcW w:w="1254" w:type="dxa"/>
          </w:tcPr>
          <w:p>
            <w:pPr>
              <w:pStyle w:val="TableParagraph"/>
              <w:spacing w:before="70"/>
              <w:ind w:left="184"/>
              <w:rPr>
                <w:b/>
                <w:sz w:val="20"/>
              </w:rPr>
            </w:pPr>
            <w:r>
              <w:rPr>
                <w:b/>
                <w:w w:val="99"/>
                <w:sz w:val="20"/>
              </w:rPr>
              <w:t>*</w:t>
            </w:r>
          </w:p>
        </w:tc>
        <w:tc>
          <w:tcPr>
            <w:tcW w:w="5630" w:type="dxa"/>
          </w:tcPr>
          <w:p>
            <w:pPr>
              <w:pStyle w:val="TableParagraph"/>
              <w:spacing w:line="196" w:lineRule="auto" w:before="103"/>
              <w:ind w:left="968"/>
              <w:rPr>
                <w:sz w:val="20"/>
              </w:rPr>
            </w:pPr>
            <w:r>
              <w:rPr>
                <w:sz w:val="20"/>
              </w:rPr>
              <w:t>Treatment Code 744 applies to goods specified in a Ministerial Determination that has validity</w:t>
            </w:r>
          </w:p>
          <w:p>
            <w:pPr>
              <w:pStyle w:val="TableParagraph"/>
              <w:spacing w:line="198" w:lineRule="exact"/>
              <w:ind w:left="968"/>
              <w:rPr>
                <w:sz w:val="20"/>
              </w:rPr>
            </w:pPr>
            <w:r>
              <w:rPr>
                <w:sz w:val="20"/>
              </w:rPr>
              <w:t>commencing on or after 1 March 2013 †</w:t>
            </w:r>
          </w:p>
        </w:tc>
        <w:tc>
          <w:tcPr>
            <w:tcW w:w="908" w:type="dxa"/>
          </w:tcPr>
          <w:p>
            <w:pPr>
              <w:pStyle w:val="TableParagraph"/>
              <w:rPr>
                <w:sz w:val="20"/>
              </w:rPr>
            </w:pPr>
          </w:p>
        </w:tc>
      </w:tr>
      <w:tr>
        <w:trPr>
          <w:trHeight w:val="1685" w:hRule="atLeast"/>
        </w:trPr>
        <w:tc>
          <w:tcPr>
            <w:tcW w:w="547" w:type="dxa"/>
          </w:tcPr>
          <w:p>
            <w:pPr>
              <w:pStyle w:val="TableParagraph"/>
              <w:rPr>
                <w:sz w:val="20"/>
              </w:rPr>
            </w:pPr>
          </w:p>
        </w:tc>
        <w:tc>
          <w:tcPr>
            <w:tcW w:w="1223" w:type="dxa"/>
          </w:tcPr>
          <w:p>
            <w:pPr>
              <w:pStyle w:val="TableParagraph"/>
              <w:rPr>
                <w:sz w:val="20"/>
              </w:rPr>
            </w:pPr>
          </w:p>
        </w:tc>
        <w:tc>
          <w:tcPr>
            <w:tcW w:w="1254" w:type="dxa"/>
          </w:tcPr>
          <w:p>
            <w:pPr>
              <w:pStyle w:val="TableParagraph"/>
              <w:rPr>
                <w:sz w:val="20"/>
              </w:rPr>
            </w:pPr>
          </w:p>
        </w:tc>
        <w:tc>
          <w:tcPr>
            <w:tcW w:w="5630"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89" w:lineRule="auto" w:before="145"/>
              <w:ind w:left="1261" w:right="431" w:hanging="284"/>
              <w:rPr>
                <w:sz w:val="20"/>
              </w:rPr>
            </w:pPr>
            <w:r>
              <w:rPr>
                <w:sz w:val="20"/>
              </w:rPr>
              <w:t>† The Ministerial Determination must be quoted on Import Declarations.</w:t>
            </w:r>
          </w:p>
        </w:tc>
        <w:tc>
          <w:tcPr>
            <w:tcW w:w="908" w:type="dxa"/>
          </w:tcPr>
          <w:p>
            <w:pPr>
              <w:pStyle w:val="TableParagraph"/>
              <w:rPr>
                <w:sz w:val="20"/>
              </w:rPr>
            </w:pPr>
          </w:p>
        </w:tc>
      </w:tr>
      <w:tr>
        <w:trPr>
          <w:trHeight w:val="566" w:hRule="atLeast"/>
        </w:trPr>
        <w:tc>
          <w:tcPr>
            <w:tcW w:w="547" w:type="dxa"/>
          </w:tcPr>
          <w:p>
            <w:pPr>
              <w:pStyle w:val="TableParagraph"/>
              <w:rPr>
                <w:sz w:val="20"/>
              </w:rPr>
            </w:pPr>
          </w:p>
        </w:tc>
        <w:tc>
          <w:tcPr>
            <w:tcW w:w="1223" w:type="dxa"/>
          </w:tcPr>
          <w:p>
            <w:pPr>
              <w:pStyle w:val="TableParagraph"/>
              <w:rPr>
                <w:sz w:val="20"/>
              </w:rPr>
            </w:pPr>
          </w:p>
        </w:tc>
        <w:tc>
          <w:tcPr>
            <w:tcW w:w="1254" w:type="dxa"/>
          </w:tcPr>
          <w:p>
            <w:pPr>
              <w:pStyle w:val="TableParagraph"/>
              <w:rPr>
                <w:sz w:val="20"/>
              </w:rPr>
            </w:pPr>
          </w:p>
        </w:tc>
        <w:tc>
          <w:tcPr>
            <w:tcW w:w="5630" w:type="dxa"/>
          </w:tcPr>
          <w:p>
            <w:pPr>
              <w:pStyle w:val="TableParagraph"/>
              <w:spacing w:line="206" w:lineRule="exact" w:before="154"/>
              <w:ind w:left="1261"/>
              <w:rPr>
                <w:sz w:val="20"/>
              </w:rPr>
            </w:pPr>
            <w:r>
              <w:rPr>
                <w:sz w:val="20"/>
              </w:rPr>
              <w:t>For further information on previous item 44 and its</w:t>
            </w:r>
          </w:p>
          <w:p>
            <w:pPr>
              <w:pStyle w:val="TableParagraph"/>
              <w:spacing w:line="186" w:lineRule="exact"/>
              <w:ind w:left="1261"/>
              <w:rPr>
                <w:sz w:val="20"/>
              </w:rPr>
            </w:pPr>
            <w:r>
              <w:rPr>
                <w:sz w:val="20"/>
              </w:rPr>
              <w:t>Treatment Code 444, refer to Schedule 4 page 4/23.</w:t>
            </w:r>
          </w:p>
        </w:tc>
        <w:tc>
          <w:tcPr>
            <w:tcW w:w="908" w:type="dxa"/>
          </w:tcPr>
          <w:p>
            <w:pPr>
              <w:pStyle w:val="TableParagraph"/>
              <w:rPr>
                <w:sz w:val="20"/>
              </w:rPr>
            </w:pPr>
          </w:p>
        </w:tc>
      </w:tr>
    </w:tbl>
    <w:p>
      <w:pPr>
        <w:spacing w:after="0"/>
        <w:rPr>
          <w:sz w:val="20"/>
        </w:rPr>
        <w:sectPr>
          <w:headerReference w:type="default" r:id="rId14"/>
          <w:footerReference w:type="default" r:id="rId15"/>
          <w:pgSz w:w="11910" w:h="16840"/>
          <w:pgMar w:header="704" w:footer="2084" w:top="2920" w:bottom="2280" w:left="0" w:right="0"/>
        </w:sect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8"/>
        <w:gridCol w:w="1333"/>
      </w:tblGrid>
      <w:tr>
        <w:trPr>
          <w:trHeight w:val="690" w:hRule="atLeast"/>
        </w:trPr>
        <w:tc>
          <w:tcPr>
            <w:tcW w:w="8368" w:type="dxa"/>
            <w:tcBorders>
              <w:left w:val="nil"/>
            </w:tcBorders>
          </w:tcPr>
          <w:p>
            <w:pPr>
              <w:pStyle w:val="TableParagraph"/>
              <w:tabs>
                <w:tab w:pos="911" w:val="left" w:leader="none"/>
                <w:tab w:pos="4188" w:val="left" w:leader="none"/>
              </w:tabs>
              <w:spacing w:before="53"/>
              <w:ind w:left="1043" w:right="2504" w:hanging="824"/>
              <w:rPr>
                <w:rFonts w:ascii="Arial Narrow"/>
                <w:b/>
                <w:sz w:val="20"/>
              </w:rPr>
            </w:pPr>
            <w:r>
              <w:rPr>
                <w:rFonts w:ascii="Arial Narrow"/>
                <w:b/>
                <w:sz w:val="20"/>
              </w:rPr>
              <w:t>Item</w:t>
              <w:tab/>
              <w:t>By-law</w:t>
              <w:tab/>
              <w:t>Description of </w:t>
            </w:r>
            <w:r>
              <w:rPr>
                <w:rFonts w:ascii="Arial Narrow"/>
                <w:b/>
                <w:spacing w:val="-4"/>
                <w:sz w:val="20"/>
              </w:rPr>
              <w:t>Goods </w:t>
            </w:r>
            <w:r>
              <w:rPr>
                <w:rFonts w:ascii="Arial Narrow"/>
                <w:b/>
                <w:sz w:val="20"/>
              </w:rPr>
              <w:t>No.</w:t>
            </w:r>
          </w:p>
        </w:tc>
        <w:tc>
          <w:tcPr>
            <w:tcW w:w="1333" w:type="dxa"/>
            <w:tcBorders>
              <w:right w:val="nil"/>
            </w:tcBorders>
          </w:tcPr>
          <w:p>
            <w:pPr>
              <w:pStyle w:val="TableParagraph"/>
              <w:spacing w:line="302" w:lineRule="auto" w:before="53"/>
              <w:ind w:left="318" w:right="244" w:hanging="56"/>
              <w:rPr>
                <w:rFonts w:ascii="Arial Narrow"/>
                <w:b/>
                <w:sz w:val="20"/>
              </w:rPr>
            </w:pPr>
            <w:r>
              <w:rPr>
                <w:rFonts w:ascii="Arial Narrow"/>
                <w:b/>
                <w:sz w:val="20"/>
              </w:rPr>
              <w:t>Start date/ End date</w:t>
            </w:r>
          </w:p>
        </w:tc>
      </w:tr>
      <w:tr>
        <w:trPr>
          <w:trHeight w:val="12289" w:hRule="atLeast"/>
        </w:trPr>
        <w:tc>
          <w:tcPr>
            <w:tcW w:w="8368" w:type="dxa"/>
            <w:tcBorders>
              <w:left w:val="nil"/>
            </w:tcBorders>
          </w:tcPr>
          <w:p>
            <w:pPr>
              <w:pStyle w:val="TableParagraph"/>
              <w:spacing w:before="8"/>
              <w:rPr>
                <w:rFonts w:ascii="Arial Narrow"/>
                <w:b/>
                <w:sz w:val="19"/>
              </w:rPr>
            </w:pPr>
          </w:p>
          <w:p>
            <w:pPr>
              <w:pStyle w:val="TableParagraph"/>
              <w:ind w:left="1732"/>
              <w:rPr>
                <w:b/>
                <w:sz w:val="20"/>
              </w:rPr>
            </w:pPr>
            <w:r>
              <w:rPr>
                <w:b/>
                <w:sz w:val="20"/>
                <w:u w:val="single"/>
              </w:rPr>
              <w:t>Item 14 – Goods for use in a petroleum activity in the Timor Sea</w:t>
            </w:r>
          </w:p>
          <w:p>
            <w:pPr>
              <w:pStyle w:val="TableParagraph"/>
              <w:spacing w:before="3"/>
              <w:rPr>
                <w:rFonts w:ascii="Arial Narrow"/>
                <w:b/>
                <w:sz w:val="21"/>
              </w:rPr>
            </w:pPr>
          </w:p>
          <w:p>
            <w:pPr>
              <w:pStyle w:val="TableParagraph"/>
              <w:ind w:left="1732"/>
              <w:rPr>
                <w:sz w:val="20"/>
              </w:rPr>
            </w:pPr>
            <w:r>
              <w:rPr>
                <w:sz w:val="20"/>
                <w:u w:val="single"/>
              </w:rPr>
              <w:t>Goods for use in a petroleum activity in the Timor Sea</w:t>
            </w:r>
          </w:p>
          <w:p>
            <w:pPr>
              <w:pStyle w:val="TableParagraph"/>
              <w:spacing w:before="11"/>
              <w:rPr>
                <w:rFonts w:ascii="Arial Narrow"/>
                <w:b/>
                <w:sz w:val="19"/>
              </w:rPr>
            </w:pPr>
          </w:p>
          <w:p>
            <w:pPr>
              <w:pStyle w:val="TableParagraph"/>
              <w:numPr>
                <w:ilvl w:val="0"/>
                <w:numId w:val="5"/>
              </w:numPr>
              <w:tabs>
                <w:tab w:pos="435" w:val="left" w:leader="none"/>
                <w:tab w:pos="837" w:val="left" w:leader="none"/>
                <w:tab w:pos="2160" w:val="left" w:leader="none"/>
              </w:tabs>
              <w:spacing w:line="240" w:lineRule="auto" w:before="0" w:after="0"/>
              <w:ind w:left="434" w:right="0" w:hanging="330"/>
              <w:jc w:val="left"/>
              <w:rPr>
                <w:sz w:val="20"/>
              </w:rPr>
            </w:pPr>
            <w:r>
              <w:rPr>
                <w:b/>
                <w:sz w:val="20"/>
              </w:rPr>
              <w:t>14</w:t>
              <w:tab/>
              <w:t>1900564  </w:t>
            </w:r>
            <w:r>
              <w:rPr>
                <w:b/>
                <w:spacing w:val="44"/>
                <w:sz w:val="20"/>
              </w:rPr>
              <w:t> </w:t>
            </w:r>
            <w:r>
              <w:rPr>
                <w:position w:val="1"/>
                <w:sz w:val="20"/>
              </w:rPr>
              <w:t>1.</w:t>
              <w:tab/>
              <w:t>This by-law may be cited as Customs By-law No.</w:t>
            </w:r>
            <w:r>
              <w:rPr>
                <w:spacing w:val="-7"/>
                <w:position w:val="1"/>
                <w:sz w:val="20"/>
              </w:rPr>
              <w:t> </w:t>
            </w:r>
            <w:r>
              <w:rPr>
                <w:position w:val="1"/>
                <w:sz w:val="20"/>
              </w:rPr>
              <w:t>1900564.</w:t>
            </w:r>
          </w:p>
          <w:p>
            <w:pPr>
              <w:pStyle w:val="TableParagraph"/>
              <w:spacing w:before="1"/>
              <w:rPr>
                <w:rFonts w:ascii="Arial Narrow"/>
                <w:b/>
                <w:sz w:val="19"/>
              </w:rPr>
            </w:pPr>
          </w:p>
          <w:p>
            <w:pPr>
              <w:pStyle w:val="TableParagraph"/>
              <w:numPr>
                <w:ilvl w:val="1"/>
                <w:numId w:val="5"/>
              </w:numPr>
              <w:tabs>
                <w:tab w:pos="2160" w:val="left" w:leader="none"/>
                <w:tab w:pos="2161" w:val="left" w:leader="none"/>
              </w:tabs>
              <w:spacing w:line="259" w:lineRule="auto" w:before="1" w:after="0"/>
              <w:ind w:left="2160" w:right="246" w:hanging="428"/>
              <w:jc w:val="left"/>
              <w:rPr>
                <w:sz w:val="20"/>
              </w:rPr>
            </w:pPr>
            <w:r>
              <w:rPr>
                <w:sz w:val="20"/>
              </w:rPr>
              <w:t>For the purposes of item 14 of Schedule 4 to the Customs Tariff Act</w:t>
            </w:r>
            <w:r>
              <w:rPr>
                <w:spacing w:val="-23"/>
                <w:sz w:val="20"/>
              </w:rPr>
              <w:t> </w:t>
            </w:r>
            <w:r>
              <w:rPr>
                <w:sz w:val="20"/>
              </w:rPr>
              <w:t>1995, subject to paragraph 3, goods for use in an activity that is one of the Petroleum Activities within the meaning of the Timor Sea Maritime Boundaries Treaty and takes place in an area mentioned in item 14 are prescribed.</w:t>
            </w:r>
          </w:p>
          <w:p>
            <w:pPr>
              <w:pStyle w:val="TableParagraph"/>
              <w:numPr>
                <w:ilvl w:val="1"/>
                <w:numId w:val="5"/>
              </w:numPr>
              <w:tabs>
                <w:tab w:pos="2160" w:val="left" w:leader="none"/>
                <w:tab w:pos="2161" w:val="left" w:leader="none"/>
              </w:tabs>
              <w:spacing w:line="259" w:lineRule="auto" w:before="160" w:after="0"/>
              <w:ind w:left="2160" w:right="349" w:hanging="428"/>
              <w:jc w:val="left"/>
              <w:rPr>
                <w:sz w:val="20"/>
              </w:rPr>
            </w:pPr>
            <w:r>
              <w:rPr>
                <w:sz w:val="20"/>
              </w:rPr>
              <w:t>Paragraph 2 does not include goods that are for personal or domestic</w:t>
            </w:r>
            <w:r>
              <w:rPr>
                <w:spacing w:val="-22"/>
                <w:sz w:val="20"/>
              </w:rPr>
              <w:t> </w:t>
            </w:r>
            <w:r>
              <w:rPr>
                <w:sz w:val="20"/>
              </w:rPr>
              <w:t>use, including food, beverages (including alcoholic beverages), tobacco, toiletries and clothing (other than protective safety clothing for use in a Petroleum</w:t>
            </w:r>
            <w:r>
              <w:rPr>
                <w:spacing w:val="-3"/>
                <w:sz w:val="20"/>
              </w:rPr>
              <w:t> </w:t>
            </w:r>
            <w:r>
              <w:rPr>
                <w:sz w:val="20"/>
              </w:rPr>
              <w:t>Activity).</w:t>
            </w:r>
          </w:p>
        </w:tc>
        <w:tc>
          <w:tcPr>
            <w:tcW w:w="1333" w:type="dxa"/>
            <w:tcBorders>
              <w:right w:val="nil"/>
            </w:tcBorders>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60"/>
              <w:ind w:left="242"/>
              <w:rPr>
                <w:b/>
                <w:sz w:val="20"/>
              </w:rPr>
            </w:pPr>
            <w:r>
              <w:rPr>
                <w:b/>
                <w:sz w:val="20"/>
              </w:rPr>
              <w:t>30/8/2019</w:t>
            </w:r>
          </w:p>
        </w:tc>
      </w:tr>
    </w:tbl>
    <w:p>
      <w:pPr>
        <w:spacing w:after="0"/>
        <w:rPr>
          <w:sz w:val="20"/>
        </w:rPr>
        <w:sectPr>
          <w:headerReference w:type="default" r:id="rId16"/>
          <w:footerReference w:type="default" r:id="rId17"/>
          <w:pgSz w:w="11910" w:h="16840"/>
          <w:pgMar w:header="589" w:footer="1112" w:top="2440" w:bottom="1300" w:left="0" w:right="0"/>
        </w:sect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8"/>
        <w:gridCol w:w="1380"/>
      </w:tblGrid>
      <w:tr>
        <w:trPr>
          <w:trHeight w:val="690" w:hRule="atLeast"/>
        </w:trPr>
        <w:tc>
          <w:tcPr>
            <w:tcW w:w="8368" w:type="dxa"/>
            <w:tcBorders>
              <w:left w:val="nil"/>
            </w:tcBorders>
          </w:tcPr>
          <w:p>
            <w:pPr>
              <w:pStyle w:val="TableParagraph"/>
              <w:tabs>
                <w:tab w:pos="914" w:val="left" w:leader="none"/>
                <w:tab w:pos="4188" w:val="left" w:leader="none"/>
              </w:tabs>
              <w:spacing w:before="54"/>
              <w:ind w:left="1046" w:right="2505" w:hanging="827"/>
              <w:rPr>
                <w:rFonts w:ascii="Arial Narrow"/>
                <w:b/>
                <w:sz w:val="20"/>
              </w:rPr>
            </w:pPr>
            <w:r>
              <w:rPr>
                <w:rFonts w:ascii="Arial Narrow"/>
                <w:b/>
                <w:sz w:val="20"/>
              </w:rPr>
              <w:t>Item</w:t>
              <w:tab/>
              <w:t>By-law</w:t>
              <w:tab/>
              <w:t>Description of </w:t>
            </w:r>
            <w:r>
              <w:rPr>
                <w:rFonts w:ascii="Arial Narrow"/>
                <w:b/>
                <w:spacing w:val="-4"/>
                <w:sz w:val="20"/>
              </w:rPr>
              <w:t>Goods </w:t>
            </w:r>
            <w:r>
              <w:rPr>
                <w:rFonts w:ascii="Arial Narrow"/>
                <w:b/>
                <w:sz w:val="20"/>
              </w:rPr>
              <w:t>No.</w:t>
            </w:r>
          </w:p>
        </w:tc>
        <w:tc>
          <w:tcPr>
            <w:tcW w:w="1380" w:type="dxa"/>
            <w:tcBorders>
              <w:right w:val="nil"/>
            </w:tcBorders>
          </w:tcPr>
          <w:p>
            <w:pPr>
              <w:pStyle w:val="TableParagraph"/>
              <w:spacing w:line="302" w:lineRule="auto" w:before="54"/>
              <w:ind w:left="319" w:right="290" w:hanging="56"/>
              <w:rPr>
                <w:rFonts w:ascii="Arial Narrow"/>
                <w:b/>
                <w:sz w:val="20"/>
              </w:rPr>
            </w:pPr>
            <w:r>
              <w:rPr>
                <w:rFonts w:ascii="Arial Narrow"/>
                <w:b/>
                <w:sz w:val="20"/>
              </w:rPr>
              <w:t>Start date/ End date</w:t>
            </w:r>
          </w:p>
        </w:tc>
      </w:tr>
      <w:tr>
        <w:trPr>
          <w:trHeight w:val="12310" w:hRule="atLeast"/>
        </w:trPr>
        <w:tc>
          <w:tcPr>
            <w:tcW w:w="8368" w:type="dxa"/>
            <w:tcBorders>
              <w:left w:val="nil"/>
            </w:tcBorders>
          </w:tcPr>
          <w:p>
            <w:pPr>
              <w:pStyle w:val="TableParagraph"/>
              <w:spacing w:before="225"/>
              <w:ind w:left="1733"/>
              <w:rPr>
                <w:b/>
                <w:sz w:val="24"/>
              </w:rPr>
            </w:pPr>
            <w:r>
              <w:rPr>
                <w:b/>
                <w:sz w:val="24"/>
                <w:u w:val="thick"/>
              </w:rPr>
              <w:t>Goods that are personal effects</w:t>
            </w:r>
          </w:p>
          <w:p>
            <w:pPr>
              <w:pStyle w:val="TableParagraph"/>
              <w:spacing w:before="8"/>
              <w:rPr>
                <w:rFonts w:ascii="Arial Narrow"/>
                <w:b/>
                <w:sz w:val="21"/>
              </w:rPr>
            </w:pPr>
          </w:p>
          <w:p>
            <w:pPr>
              <w:pStyle w:val="TableParagraph"/>
              <w:tabs>
                <w:tab w:pos="837" w:val="left" w:leader="none"/>
              </w:tabs>
              <w:ind w:left="264"/>
              <w:rPr>
                <w:b/>
                <w:sz w:val="20"/>
              </w:rPr>
            </w:pPr>
            <w:r>
              <w:rPr>
                <w:b/>
                <w:sz w:val="20"/>
              </w:rPr>
              <w:t>15</w:t>
              <w:tab/>
              <w:t>1300938</w:t>
            </w:r>
            <w:r>
              <w:rPr>
                <w:b/>
                <w:position w:val="2"/>
                <w:sz w:val="20"/>
              </w:rPr>
              <w:t> </w:t>
            </w:r>
            <w:r>
              <w:rPr>
                <w:b/>
                <w:position w:val="2"/>
                <w:sz w:val="20"/>
                <w:u w:val="single"/>
              </w:rPr>
              <w:t>Item 15 – Personal effects for passengers and ship or aircraft</w:t>
            </w:r>
            <w:r>
              <w:rPr>
                <w:b/>
                <w:spacing w:val="-20"/>
                <w:position w:val="2"/>
                <w:sz w:val="20"/>
                <w:u w:val="single"/>
              </w:rPr>
              <w:t> </w:t>
            </w:r>
            <w:r>
              <w:rPr>
                <w:b/>
                <w:position w:val="2"/>
                <w:sz w:val="20"/>
                <w:u w:val="single"/>
              </w:rPr>
              <w:t>crew</w:t>
            </w:r>
          </w:p>
          <w:p>
            <w:pPr>
              <w:pStyle w:val="TableParagraph"/>
              <w:spacing w:before="6"/>
              <w:rPr>
                <w:rFonts w:ascii="Arial Narrow"/>
                <w:b/>
                <w:sz w:val="19"/>
              </w:rPr>
            </w:pPr>
          </w:p>
          <w:p>
            <w:pPr>
              <w:pStyle w:val="TableParagraph"/>
              <w:ind w:left="1710" w:right="397"/>
              <w:jc w:val="center"/>
              <w:rPr>
                <w:sz w:val="20"/>
              </w:rPr>
            </w:pPr>
            <w:r>
              <w:rPr>
                <w:sz w:val="20"/>
                <w:u w:val="single"/>
              </w:rPr>
              <w:t>Goods imported by a member of the forces of Canada or the United Kingdom</w:t>
            </w:r>
          </w:p>
          <w:p>
            <w:pPr>
              <w:pStyle w:val="TableParagraph"/>
              <w:spacing w:before="2"/>
              <w:rPr>
                <w:rFonts w:ascii="Arial Narrow"/>
                <w:b/>
                <w:sz w:val="20"/>
              </w:rPr>
            </w:pPr>
          </w:p>
          <w:p>
            <w:pPr>
              <w:pStyle w:val="TableParagraph"/>
              <w:numPr>
                <w:ilvl w:val="0"/>
                <w:numId w:val="6"/>
              </w:numPr>
              <w:tabs>
                <w:tab w:pos="2299" w:val="left" w:leader="none"/>
                <w:tab w:pos="2300" w:val="left" w:leader="none"/>
              </w:tabs>
              <w:spacing w:line="240" w:lineRule="auto" w:before="1" w:after="0"/>
              <w:ind w:left="2299" w:right="0" w:hanging="567"/>
              <w:jc w:val="left"/>
              <w:rPr>
                <w:sz w:val="20"/>
              </w:rPr>
            </w:pPr>
            <w:r>
              <w:rPr>
                <w:sz w:val="20"/>
              </w:rPr>
              <w:t>This by-law may be cited as Customs By-law No.</w:t>
            </w:r>
            <w:r>
              <w:rPr>
                <w:spacing w:val="-7"/>
                <w:sz w:val="20"/>
              </w:rPr>
              <w:t> </w:t>
            </w:r>
            <w:r>
              <w:rPr>
                <w:sz w:val="20"/>
              </w:rPr>
              <w:t>1300938.</w:t>
            </w:r>
          </w:p>
          <w:p>
            <w:pPr>
              <w:pStyle w:val="TableParagraph"/>
              <w:spacing w:before="5"/>
              <w:rPr>
                <w:rFonts w:ascii="Arial Narrow"/>
                <w:b/>
                <w:sz w:val="21"/>
              </w:rPr>
            </w:pPr>
          </w:p>
          <w:p>
            <w:pPr>
              <w:pStyle w:val="TableParagraph"/>
              <w:numPr>
                <w:ilvl w:val="0"/>
                <w:numId w:val="6"/>
              </w:numPr>
              <w:tabs>
                <w:tab w:pos="2299" w:val="left" w:leader="none"/>
                <w:tab w:pos="2300" w:val="left" w:leader="none"/>
              </w:tabs>
              <w:spacing w:line="240" w:lineRule="auto" w:before="0" w:after="0"/>
              <w:ind w:left="2299" w:right="0" w:hanging="567"/>
              <w:jc w:val="left"/>
              <w:rPr>
                <w:sz w:val="20"/>
              </w:rPr>
            </w:pPr>
            <w:r>
              <w:rPr>
                <w:sz w:val="20"/>
              </w:rPr>
              <w:t>This by-law takes effect on and from 1 March</w:t>
            </w:r>
            <w:r>
              <w:rPr>
                <w:spacing w:val="-10"/>
                <w:sz w:val="20"/>
              </w:rPr>
              <w:t> </w:t>
            </w:r>
            <w:r>
              <w:rPr>
                <w:sz w:val="20"/>
              </w:rPr>
              <w:t>2013.</w:t>
            </w:r>
          </w:p>
          <w:p>
            <w:pPr>
              <w:pStyle w:val="TableParagraph"/>
              <w:spacing w:before="10"/>
              <w:rPr>
                <w:rFonts w:ascii="Arial Narrow"/>
                <w:b/>
                <w:sz w:val="21"/>
              </w:rPr>
            </w:pPr>
          </w:p>
          <w:p>
            <w:pPr>
              <w:pStyle w:val="TableParagraph"/>
              <w:numPr>
                <w:ilvl w:val="0"/>
                <w:numId w:val="6"/>
              </w:numPr>
              <w:tabs>
                <w:tab w:pos="2299" w:val="left" w:leader="none"/>
                <w:tab w:pos="2300" w:val="left" w:leader="none"/>
              </w:tabs>
              <w:spacing w:line="240" w:lineRule="auto" w:before="0" w:after="0"/>
              <w:ind w:left="2299" w:right="117" w:hanging="567"/>
              <w:jc w:val="left"/>
              <w:rPr>
                <w:sz w:val="20"/>
              </w:rPr>
            </w:pPr>
            <w:r>
              <w:rPr>
                <w:sz w:val="20"/>
              </w:rPr>
              <w:t>For the purposes of paragraph (d) of item 15 of Schedule 4 to the </w:t>
            </w:r>
            <w:r>
              <w:rPr>
                <w:i/>
                <w:sz w:val="20"/>
              </w:rPr>
              <w:t>Customs Tariff Act 1995</w:t>
            </w:r>
            <w:r>
              <w:rPr>
                <w:sz w:val="20"/>
              </w:rPr>
              <w:t>, goods imported by a member of the forces of Canada or the United Kingdom being goods, as follows, are</w:t>
            </w:r>
            <w:r>
              <w:rPr>
                <w:spacing w:val="-8"/>
                <w:sz w:val="20"/>
              </w:rPr>
              <w:t> </w:t>
            </w:r>
            <w:r>
              <w:rPr>
                <w:sz w:val="20"/>
              </w:rPr>
              <w:t>prescribed:</w:t>
            </w:r>
          </w:p>
          <w:p>
            <w:pPr>
              <w:pStyle w:val="TableParagraph"/>
              <w:spacing w:before="3"/>
              <w:rPr>
                <w:rFonts w:ascii="Arial Narrow"/>
                <w:b/>
                <w:sz w:val="20"/>
              </w:rPr>
            </w:pPr>
          </w:p>
          <w:p>
            <w:pPr>
              <w:pStyle w:val="TableParagraph"/>
              <w:numPr>
                <w:ilvl w:val="1"/>
                <w:numId w:val="6"/>
              </w:numPr>
              <w:tabs>
                <w:tab w:pos="2866" w:val="left" w:leader="none"/>
                <w:tab w:pos="2867" w:val="left" w:leader="none"/>
              </w:tabs>
              <w:spacing w:line="240" w:lineRule="auto" w:before="0" w:after="0"/>
              <w:ind w:left="2866" w:right="150" w:hanging="567"/>
              <w:jc w:val="left"/>
              <w:rPr>
                <w:sz w:val="20"/>
              </w:rPr>
            </w:pPr>
            <w:r>
              <w:rPr>
                <w:sz w:val="20"/>
              </w:rPr>
              <w:t>a motor vehicle owned and used outside Australia by the member of those forces during the period of six months immediately preceding his or her first departure for Australia, provided that the motor vehicle remains in the use, ownership and possession of</w:t>
            </w:r>
            <w:r>
              <w:rPr>
                <w:spacing w:val="-22"/>
                <w:sz w:val="20"/>
              </w:rPr>
              <w:t> </w:t>
            </w:r>
            <w:r>
              <w:rPr>
                <w:sz w:val="20"/>
              </w:rPr>
              <w:t>that member of those forces or, with the permission of the Collector,</w:t>
            </w:r>
            <w:r>
              <w:rPr>
                <w:spacing w:val="-22"/>
                <w:sz w:val="20"/>
              </w:rPr>
              <w:t> </w:t>
            </w:r>
            <w:r>
              <w:rPr>
                <w:sz w:val="20"/>
              </w:rPr>
              <w:t>of another member of those forces during the period of two years immediately after the date of its</w:t>
            </w:r>
            <w:r>
              <w:rPr>
                <w:spacing w:val="-8"/>
                <w:sz w:val="20"/>
              </w:rPr>
              <w:t> </w:t>
            </w:r>
            <w:r>
              <w:rPr>
                <w:sz w:val="20"/>
              </w:rPr>
              <w:t>importation;</w:t>
            </w:r>
          </w:p>
          <w:p>
            <w:pPr>
              <w:pStyle w:val="TableParagraph"/>
              <w:rPr>
                <w:rFonts w:ascii="Arial Narrow"/>
                <w:b/>
                <w:sz w:val="20"/>
              </w:rPr>
            </w:pPr>
          </w:p>
          <w:p>
            <w:pPr>
              <w:pStyle w:val="TableParagraph"/>
              <w:numPr>
                <w:ilvl w:val="1"/>
                <w:numId w:val="6"/>
              </w:numPr>
              <w:tabs>
                <w:tab w:pos="2866" w:val="left" w:leader="none"/>
                <w:tab w:pos="2867" w:val="left" w:leader="none"/>
              </w:tabs>
              <w:spacing w:line="240" w:lineRule="auto" w:before="0" w:after="0"/>
              <w:ind w:left="2866" w:right="142" w:hanging="567"/>
              <w:jc w:val="left"/>
              <w:rPr>
                <w:sz w:val="20"/>
              </w:rPr>
            </w:pPr>
            <w:r>
              <w:rPr>
                <w:sz w:val="20"/>
              </w:rPr>
              <w:t>a motor vehicle for the personal use of the member of those</w:t>
            </w:r>
            <w:r>
              <w:rPr>
                <w:spacing w:val="-22"/>
                <w:sz w:val="20"/>
              </w:rPr>
              <w:t> </w:t>
            </w:r>
            <w:r>
              <w:rPr>
                <w:sz w:val="20"/>
              </w:rPr>
              <w:t>forces, not being a motor vehicle of a kind described in the preceding paragraph, which is intended to be exported, provided that the vehicle is exported within three years after the date of its importation or within such extended period as may be approved</w:t>
            </w:r>
            <w:r>
              <w:rPr>
                <w:spacing w:val="-20"/>
                <w:sz w:val="20"/>
              </w:rPr>
              <w:t> </w:t>
            </w:r>
            <w:r>
              <w:rPr>
                <w:sz w:val="20"/>
              </w:rPr>
              <w:t>by the</w:t>
            </w:r>
            <w:r>
              <w:rPr>
                <w:spacing w:val="-1"/>
                <w:sz w:val="20"/>
              </w:rPr>
              <w:t> </w:t>
            </w:r>
            <w:r>
              <w:rPr>
                <w:sz w:val="20"/>
              </w:rPr>
              <w:t>Collector.</w:t>
            </w:r>
          </w:p>
          <w:p>
            <w:pPr>
              <w:pStyle w:val="TableParagraph"/>
              <w:spacing w:before="2"/>
              <w:rPr>
                <w:rFonts w:ascii="Arial Narrow"/>
                <w:b/>
                <w:sz w:val="20"/>
              </w:rPr>
            </w:pPr>
          </w:p>
          <w:p>
            <w:pPr>
              <w:pStyle w:val="TableParagraph"/>
              <w:spacing w:before="1"/>
              <w:ind w:left="2866" w:right="162"/>
              <w:rPr>
                <w:sz w:val="20"/>
              </w:rPr>
            </w:pPr>
            <w:r>
              <w:rPr>
                <w:sz w:val="20"/>
              </w:rPr>
              <w:t>With the permission of the Collector, a motor vehicle imported under this sub-paragraph may be transferred to another member of those forces provided that it is exported by the latter member of those forces within three years after the date of its importation or within such extended period as may be approved by the Collector.</w:t>
            </w:r>
          </w:p>
          <w:p>
            <w:pPr>
              <w:pStyle w:val="TableParagraph"/>
              <w:spacing w:before="1"/>
              <w:rPr>
                <w:rFonts w:ascii="Arial Narrow"/>
                <w:b/>
                <w:sz w:val="20"/>
              </w:rPr>
            </w:pPr>
          </w:p>
          <w:p>
            <w:pPr>
              <w:pStyle w:val="TableParagraph"/>
              <w:numPr>
                <w:ilvl w:val="0"/>
                <w:numId w:val="6"/>
              </w:numPr>
              <w:tabs>
                <w:tab w:pos="2299" w:val="left" w:leader="none"/>
                <w:tab w:pos="2300" w:val="left" w:leader="none"/>
              </w:tabs>
              <w:spacing w:line="240" w:lineRule="auto" w:before="0" w:after="0"/>
              <w:ind w:left="2299" w:right="222" w:hanging="567"/>
              <w:jc w:val="left"/>
              <w:rPr>
                <w:sz w:val="20"/>
              </w:rPr>
            </w:pPr>
            <w:r>
              <w:rPr>
                <w:sz w:val="20"/>
              </w:rPr>
              <w:t>For the purposes of this by-law, “member of the Forces of Canada or the United Kingdom” means a person belonging to the land, sea or air</w:t>
            </w:r>
            <w:r>
              <w:rPr>
                <w:spacing w:val="-26"/>
                <w:sz w:val="20"/>
              </w:rPr>
              <w:t> </w:t>
            </w:r>
            <w:r>
              <w:rPr>
                <w:sz w:val="20"/>
              </w:rPr>
              <w:t>armed services of those countries temporarily serving in Australia under arrangements agreed on by the Government of Australia and the Governments of Canada and the United</w:t>
            </w:r>
            <w:r>
              <w:rPr>
                <w:spacing w:val="-1"/>
                <w:sz w:val="20"/>
              </w:rPr>
              <w:t> </w:t>
            </w:r>
            <w:r>
              <w:rPr>
                <w:sz w:val="20"/>
              </w:rPr>
              <w:t>Kingdom.</w:t>
            </w:r>
          </w:p>
          <w:p>
            <w:pPr>
              <w:pStyle w:val="TableParagraph"/>
              <w:spacing w:before="3"/>
              <w:rPr>
                <w:rFonts w:ascii="Arial Narrow"/>
                <w:b/>
                <w:sz w:val="18"/>
              </w:rPr>
            </w:pPr>
          </w:p>
          <w:p>
            <w:pPr>
              <w:pStyle w:val="TableParagraph"/>
              <w:numPr>
                <w:ilvl w:val="0"/>
                <w:numId w:val="6"/>
              </w:numPr>
              <w:tabs>
                <w:tab w:pos="2299" w:val="left" w:leader="none"/>
                <w:tab w:pos="2300" w:val="left" w:leader="none"/>
              </w:tabs>
              <w:spacing w:line="215" w:lineRule="exact" w:before="0" w:after="0"/>
              <w:ind w:left="2299" w:right="0" w:hanging="567"/>
              <w:jc w:val="left"/>
              <w:rPr>
                <w:sz w:val="20"/>
              </w:rPr>
            </w:pPr>
            <w:r>
              <w:rPr>
                <w:sz w:val="20"/>
              </w:rPr>
              <w:t>For the purposes of this by-law, the “</w:t>
            </w:r>
            <w:r>
              <w:rPr>
                <w:i/>
                <w:sz w:val="20"/>
              </w:rPr>
              <w:t>Customs Tariff Act 1995</w:t>
            </w:r>
            <w:r>
              <w:rPr>
                <w:sz w:val="20"/>
              </w:rPr>
              <w:t>” means</w:t>
            </w:r>
            <w:r>
              <w:rPr>
                <w:spacing w:val="-20"/>
                <w:sz w:val="20"/>
              </w:rPr>
              <w:t> </w:t>
            </w:r>
            <w:r>
              <w:rPr>
                <w:sz w:val="20"/>
              </w:rPr>
              <w:t>the</w:t>
            </w:r>
          </w:p>
          <w:p>
            <w:pPr>
              <w:pStyle w:val="TableParagraph"/>
              <w:spacing w:line="215" w:lineRule="exact"/>
              <w:ind w:left="1710" w:right="388"/>
              <w:jc w:val="center"/>
              <w:rPr>
                <w:sz w:val="20"/>
              </w:rPr>
            </w:pPr>
            <w:r>
              <w:rPr>
                <w:i/>
                <w:sz w:val="20"/>
              </w:rPr>
              <w:t>Customs Tariff Act 1995</w:t>
            </w:r>
            <w:r>
              <w:rPr>
                <w:sz w:val="20"/>
              </w:rPr>
              <w:t>, as amended or proposed to be altered.</w:t>
            </w:r>
          </w:p>
        </w:tc>
        <w:tc>
          <w:tcPr>
            <w:tcW w:w="1380" w:type="dxa"/>
            <w:tcBorders>
              <w:right w:val="nil"/>
            </w:tcBorders>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3"/>
              </w:rPr>
            </w:pPr>
          </w:p>
          <w:p>
            <w:pPr>
              <w:pStyle w:val="TableParagraph"/>
              <w:ind w:left="667" w:right="-15"/>
              <w:rPr>
                <w:b/>
                <w:sz w:val="20"/>
              </w:rPr>
            </w:pPr>
            <w:r>
              <w:rPr>
                <w:b/>
                <w:sz w:val="20"/>
              </w:rPr>
              <w:t>1/3/2013</w:t>
            </w:r>
          </w:p>
        </w:tc>
      </w:tr>
    </w:tbl>
    <w:sectPr>
      <w:headerReference w:type="default" r:id="rId18"/>
      <w:footerReference w:type="default" r:id="rId19"/>
      <w:pgSz w:w="11910" w:h="16840"/>
      <w:pgMar w:header="589" w:footer="911" w:top="2440" w:bottom="11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6212992" from="78.264pt,724.607422pt" to="557.140006pt,724.607422pt" stroked="true" strokeweight=".567pt" strokecolor="#000000">
          <v:stroke dashstyle="solid"/>
          <w10:wrap type="none"/>
        </v:line>
      </w:pict>
    </w:r>
    <w:r>
      <w:rPr/>
      <w:pict>
        <v:shape style="position:absolute;margin-left:77.264pt;margin-top:725.741882pt;width:314.4pt;height:23.4pt;mso-position-horizontal-relative:page;mso-position-vertical-relative:page;z-index:-16212480"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90.73999pt;margin-top:725.741882pt;width:64.95pt;height:13.45pt;mso-position-horizontal-relative:page;mso-position-vertical-relative:page;z-index:-16211968" type="#_x0000_t202" filled="false" stroked="false">
          <v:textbox inset="0,0,0,0">
            <w:txbxContent>
              <w:p>
                <w:pPr>
                  <w:pStyle w:val="BodyText"/>
                  <w:spacing w:before="20"/>
                  <w:ind w:left="20"/>
                </w:pPr>
                <w:r>
                  <w:rPr/>
                  <w:t>Operative 1/3/13</w:t>
                </w:r>
              </w:p>
            </w:txbxContent>
          </v:textbox>
          <w10:wrap type="none"/>
        </v:shape>
      </w:pict>
    </w:r>
    <w:r>
      <w:rPr/>
      <w:pict>
        <v:shape style="position:absolute;margin-left:84.103996pt;margin-top:745.657898pt;width:453.6pt;height:63.3pt;mso-position-horizontal-relative:page;mso-position-vertical-relative:page;z-index:-16211456" type="#_x0000_t202" filled="false" stroked="false">
          <v:textbox inset="0,0,0,0">
            <w:txbxContent>
              <w:p>
                <w:pPr>
                  <w:pStyle w:val="BodyText"/>
                  <w:spacing w:line="214" w:lineRule="exact" w:before="20"/>
                  <w:ind w:left="24"/>
                </w:pPr>
                <w:r>
                  <w:rPr/>
                  <w:t>Unless otherwise indicated general rate applies for CA.</w:t>
                </w:r>
              </w:p>
              <w:p>
                <w:pPr>
                  <w:pStyle w:val="BodyText"/>
                  <w:spacing w:line="208" w:lineRule="auto" w:before="9"/>
                  <w:ind w:left="20" w:right="-5" w:firstLine="4"/>
                </w:pPr>
                <w:r>
                  <w:rPr/>
                  <w:t>Unless otherwise indicated rates for US, Thai, Chilean, AANZ, Malaysian, Korean, Japanese and Chinese originating goods are Free.</w:t>
                </w:r>
              </w:p>
              <w:p>
                <w:pPr>
                  <w:pStyle w:val="BodyText"/>
                  <w:spacing w:line="208" w:lineRule="auto" w:before="1"/>
                  <w:ind w:left="24" w:right="2256"/>
                </w:pPr>
                <w:r>
                  <w:rPr/>
                  <w:t>DCS denotes the rate for countries and places listed in Part 4 of Schedule 1 to this Act. DCT denotes the rate for HK, KR, SG and TW.</w:t>
                </w:r>
              </w:p>
              <w:p>
                <w:pPr>
                  <w:pStyle w:val="BodyText"/>
                  <w:spacing w:line="205" w:lineRule="exact"/>
                  <w:ind w:left="24"/>
                </w:pPr>
                <w:r>
                  <w:rPr/>
                  <w:t>If no DCT rate shown, DCS rate applies. If no DCT or DCS rate shown, general rate applies.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25.741882pt;width:314.4pt;height:23.4pt;mso-position-horizontal-relative:page;mso-position-vertical-relative:page;z-index:-16207872"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4.660004pt;margin-top:725.741882pt;width:84pt;height:13.45pt;mso-position-horizontal-relative:page;mso-position-vertical-relative:page;z-index:-162073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3"/>
                  </w:rPr>
                  <w:t> </w:t>
                </w:r>
                <w:r>
                  <w:rPr/>
                  <w:t>Operative 30/</w:t>
                </w:r>
                <w:r>
                  <w:rPr/>
                  <w:fldChar w:fldCharType="begin"/>
                </w:r>
                <w:r>
                  <w:rPr/>
                  <w:instrText> PAGE </w:instrText>
                </w:r>
                <w:r>
                  <w:rPr/>
                  <w:fldChar w:fldCharType="separate"/>
                </w:r>
                <w:r>
                  <w:rPr/>
                  <w:t>8</w:t>
                </w:r>
                <w:r>
                  <w:rPr/>
                  <w:fldChar w:fldCharType="end"/>
                </w:r>
                <w:r>
                  <w:rPr/>
                  <w:t>/19</w:t>
                </w:r>
              </w:p>
            </w:txbxContent>
          </v:textbox>
          <w10:wrap type="none"/>
        </v:shape>
      </w:pict>
    </w:r>
    <w:r>
      <w:rPr/>
      <w:pict>
        <v:shape style="position:absolute;margin-left:84.103996pt;margin-top:745.657898pt;width:453.6pt;height:63.3pt;mso-position-horizontal-relative:page;mso-position-vertical-relative:page;z-index:-16206848" type="#_x0000_t202" filled="false" stroked="false">
          <v:textbox inset="0,0,0,0">
            <w:txbxContent>
              <w:p>
                <w:pPr>
                  <w:pStyle w:val="BodyText"/>
                  <w:spacing w:line="214" w:lineRule="exact" w:before="20"/>
                  <w:ind w:left="24"/>
                </w:pPr>
                <w:r>
                  <w:rPr/>
                  <w:t>Unless otherwise indicated general rate applies for CA.</w:t>
                </w:r>
              </w:p>
              <w:p>
                <w:pPr>
                  <w:pStyle w:val="BodyText"/>
                  <w:spacing w:line="208" w:lineRule="auto" w:before="9"/>
                  <w:ind w:left="20" w:right="-5" w:firstLine="4"/>
                </w:pPr>
                <w:r>
                  <w:rPr/>
                  <w:t>Unless otherwise indicated rates for US, Thai, Chilean, AANZ, Malaysian, Korean, Japanese and Chinese originating goods are Free.</w:t>
                </w:r>
              </w:p>
              <w:p>
                <w:pPr>
                  <w:pStyle w:val="BodyText"/>
                  <w:spacing w:line="208" w:lineRule="auto" w:before="1"/>
                  <w:ind w:left="24" w:right="2256"/>
                </w:pPr>
                <w:r>
                  <w:rPr/>
                  <w:t>DCS denotes the rate for countries and places listed in Part 4 of Schedule 1 to this Act. DCT denotes the rate for HK, KR, SG and TW.</w:t>
                </w:r>
              </w:p>
              <w:p>
                <w:pPr>
                  <w:pStyle w:val="BodyText"/>
                  <w:spacing w:line="205" w:lineRule="exact"/>
                  <w:ind w:left="24"/>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89pt;width:489.1pt;height:.48004pt;mso-position-horizontal-relative:page;mso-position-vertical-relative:page;z-index:-16204288" filled="true" fillcolor="#000000" stroked="false">
          <v:fill type="solid"/>
          <w10:wrap type="none"/>
        </v:rect>
      </w:pict>
    </w:r>
    <w:r>
      <w:rPr/>
      <w:pict>
        <v:shape style="position:absolute;margin-left:77.264pt;margin-top:724.901855pt;width:314.150pt;height:23.55pt;mso-position-horizontal-relative:page;mso-position-vertical-relative:page;z-index:-16203776"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9.100006pt;margin-top:724.901855pt;width:76.7pt;height:13.45pt;mso-position-horizontal-relative:page;mso-position-vertical-relative:page;z-index:-1620326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0"/>
                  </w:rPr>
                  <w:t> </w:t>
                </w:r>
                <w:r>
                  <w:rPr/>
                  <w:t>Operative 1/9/19</w:t>
                </w:r>
              </w:p>
            </w:txbxContent>
          </v:textbox>
          <w10:wrap type="none"/>
        </v:shape>
      </w:pict>
    </w:r>
    <w:r>
      <w:rPr/>
      <w:pict>
        <v:shape style="position:absolute;margin-left:84.344002pt;margin-top:744.937866pt;width:453.35pt;height:63.5pt;mso-position-horizontal-relative:page;mso-position-vertical-relative:page;z-index:-16202752"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6"/>
                </w:pPr>
                <w:r>
                  <w:rPr/>
                  <w:t>Unless otherwise indicated rates for US, Thai, Chilean, AANZ, Malaysian, Korean, Japanese and Chinese originating goods are Free.</w:t>
                </w:r>
              </w:p>
              <w:p>
                <w:pPr>
                  <w:pStyle w:val="BodyText"/>
                  <w:spacing w:line="208" w:lineRule="auto" w:before="1"/>
                  <w:ind w:left="20" w:right="1958"/>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89pt;width:489.1pt;height:.48004pt;mso-position-horizontal-relative:page;mso-position-vertical-relative:page;z-index:-16198656" filled="true" fillcolor="#000000" stroked="false">
          <v:fill type="solid"/>
          <w10:wrap type="none"/>
        </v:rect>
      </w:pict>
    </w:r>
    <w:r>
      <w:rPr/>
      <w:pict>
        <v:shape style="position:absolute;margin-left:77.264pt;margin-top:724.901855pt;width:314.150pt;height:23.55pt;mso-position-horizontal-relative:page;mso-position-vertical-relative:page;z-index:-16198144"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9.459991pt;margin-top:724.901855pt;width:76.2pt;height:13.45pt;mso-position-horizontal-relative:page;mso-position-vertical-relative:page;z-index:-161976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1/7/17</w:t>
                </w:r>
              </w:p>
            </w:txbxContent>
          </v:textbox>
          <w10:wrap type="none"/>
        </v:shape>
      </w:pict>
    </w:r>
    <w:r>
      <w:rPr/>
      <w:pict>
        <v:shape style="position:absolute;margin-left:84.344002pt;margin-top:744.937866pt;width:453.8pt;height:63.5pt;mso-position-horizontal-relative:page;mso-position-vertical-relative:page;z-index:-1619712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3"/>
                </w:pPr>
                <w:r>
                  <w:rPr/>
                  <w:t>Unless otherwise indicated rates for US, Thai, Chilean, AANZ, Malaysian, Korean, Japanese and Chinese originating goods are Free.</w:t>
                </w:r>
              </w:p>
              <w:p>
                <w:pPr>
                  <w:pStyle w:val="BodyText"/>
                  <w:spacing w:line="208" w:lineRule="auto" w:before="1"/>
                  <w:ind w:left="20" w:right="1967"/>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67.820007pt;margin-top:771.457886pt;width:80.650pt;height:13.45pt;mso-position-horizontal-relative:page;mso-position-vertical-relative:page;z-index:-161945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3"/>
                  </w:rPr>
                  <w:t> </w:t>
                </w:r>
                <w:r>
                  <w:rPr/>
                  <w:t>Operative 30/8/19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3.660004pt;margin-top:772.537903pt;width:64.9pt;height:13.45pt;mso-position-horizontal-relative:page;mso-position-vertical-relative:page;z-index:-16192512" type="#_x0000_t202" filled="false" stroked="false">
          <v:textbox inset="0,0,0,0">
            <w:txbxContent>
              <w:p>
                <w:pPr>
                  <w:pStyle w:val="BodyText"/>
                  <w:spacing w:before="20"/>
                  <w:ind w:left="20"/>
                </w:pPr>
                <w:r>
                  <w:rPr/>
                  <w:t>Operative 1/3/13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8.264pt;margin-top:107.780884pt;width:479.65pt;height:.75pt;mso-position-horizontal-relative:page;mso-position-vertical-relative:page;z-index:-16215040" coordorigin="1565,2156" coordsize="9593,15" path="m3834,2156l2856,2156,2842,2156,2146,2156,2132,2156,2132,2156,1565,2156,1565,2170,2132,2170,2132,2170,2146,2170,2842,2170,2856,2170,3834,2170,3834,2156xm11158,2156l9840,2156,9825,2156,4983,2156,4969,2156,3848,2156,3834,2156,3834,2170,3848,2170,4969,2170,4983,2170,9825,2170,9840,2170,11158,2170,11158,2156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18.410004pt;margin-top:34.216637pt;width:198pt;height:55.25pt;mso-position-horizontal-relative:page;mso-position-vertical-relative:page;z-index:-16214528" type="#_x0000_t202" filled="false" stroked="false">
          <v:textbox inset="0,0,0,0">
            <w:txbxContent>
              <w:p>
                <w:pPr>
                  <w:spacing w:line="345" w:lineRule="auto" w:before="12"/>
                  <w:ind w:left="901"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4.103996pt;margin-top:95.54187pt;width:14.75pt;height:13.45pt;mso-position-horizontal-relative:page;mso-position-vertical-relative:page;z-index:-16214016" type="#_x0000_t202" filled="false" stroked="false">
          <v:textbox inset="0,0,0,0">
            <w:txbxContent>
              <w:p>
                <w:pPr>
                  <w:pStyle w:val="BodyText"/>
                  <w:spacing w:before="20"/>
                  <w:ind w:left="20"/>
                </w:pPr>
                <w:r>
                  <w:rPr/>
                  <w:t>R.1</w:t>
                </w:r>
              </w:p>
            </w:txbxContent>
          </v:textbox>
          <w10:wrap type="none"/>
        </v:shape>
      </w:pict>
    </w:r>
    <w:r>
      <w:rPr/>
      <w:pict>
        <v:shape style="position:absolute;margin-left:507.799988pt;margin-top:95.54187pt;width:52.1pt;height:13.45pt;mso-position-horizontal-relative:page;mso-position-vertical-relative:page;z-index:-16213504" type="#_x0000_t202" filled="false" stroked="false">
          <v:textbox inset="0,0,0,0">
            <w:txbxContent>
              <w:p>
                <w:pPr>
                  <w:pStyle w:val="BodyText"/>
                  <w:spacing w:before="20"/>
                  <w:ind w:left="20"/>
                </w:pPr>
                <w:r>
                  <w:rPr/>
                  <w:t>Schedule 4/3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637pt;width:481.65pt;height:74.8pt;mso-position-horizontal-relative:page;mso-position-vertical-relative:page;z-index:-16210944" type="#_x0000_t202" filled="false" stroked="false">
          <v:textbox inset="0,0,0,0">
            <w:txbxContent>
              <w:p>
                <w:pPr>
                  <w:spacing w:line="345" w:lineRule="auto" w:before="12"/>
                  <w:ind w:left="3723" w:right="3751" w:firstLine="0"/>
                  <w:jc w:val="center"/>
                  <w:rPr>
                    <w:rFonts w:ascii="Arial"/>
                    <w:b/>
                    <w:sz w:val="24"/>
                  </w:rPr>
                </w:pPr>
                <w:r>
                  <w:rPr>
                    <w:rFonts w:ascii="Arial"/>
                    <w:b/>
                    <w:sz w:val="24"/>
                  </w:rPr>
                  <w:t>CUSTOMS TARIFF SCHEDULE 4</w:t>
                </w:r>
              </w:p>
              <w:p>
                <w:pPr>
                  <w:spacing w:before="2"/>
                  <w:ind w:left="0" w:right="24" w:firstLine="0"/>
                  <w:jc w:val="center"/>
                  <w:rPr>
                    <w:rFonts w:ascii="Arial"/>
                    <w:b/>
                    <w:sz w:val="24"/>
                  </w:rPr>
                </w:pPr>
                <w:r>
                  <w:rPr>
                    <w:rFonts w:ascii="Arial"/>
                    <w:b/>
                    <w:sz w:val="24"/>
                  </w:rPr>
                  <w:t>CONCESSIONAL RATES OF DUTY</w:t>
                </w:r>
              </w:p>
              <w:p>
                <w:pPr>
                  <w:pStyle w:val="BodyText"/>
                  <w:tabs>
                    <w:tab w:pos="9592" w:val="left" w:leader="none"/>
                  </w:tabs>
                  <w:spacing w:before="161"/>
                  <w:jc w:val="center"/>
                </w:pPr>
                <w:r>
                  <w:rPr>
                    <w:u w:val="single"/>
                  </w:rPr>
                  <w:t>Schedule</w:t>
                </w:r>
                <w:r>
                  <w:rPr>
                    <w:spacing w:val="-8"/>
                    <w:u w:val="single"/>
                  </w:rPr>
                  <w:t> </w:t>
                </w:r>
                <w:r>
                  <w:rPr>
                    <w:u w:val="single"/>
                  </w:rPr>
                  <w:t>4/4</w:t>
                  <w:tab/>
                </w:r>
              </w:p>
            </w:txbxContent>
          </v:textbox>
          <w10:wrap type="none"/>
        </v:shape>
      </w:pict>
    </w:r>
    <w:r>
      <w:rPr/>
      <w:pict>
        <v:shape style="position:absolute;margin-left:82.664001pt;margin-top:109.22187pt;width:53.1pt;height:33.35pt;mso-position-horizontal-relative:page;mso-position-vertical-relative:page;z-index:-16210432" type="#_x0000_t202" filled="false" stroked="false">
          <v:textbox inset="0,0,0,0">
            <w:txbxContent>
              <w:p>
                <w:pPr>
                  <w:pStyle w:val="BodyText"/>
                  <w:tabs>
                    <w:tab w:pos="586" w:val="left" w:leader="none"/>
                  </w:tabs>
                  <w:spacing w:line="208" w:lineRule="auto" w:before="44"/>
                  <w:ind w:left="586" w:right="18" w:hanging="567"/>
                </w:pPr>
                <w:r>
                  <w:rPr/>
                  <w:t>Item</w:t>
                  <w:tab/>
                  <w:t>Treat- ment Code</w:t>
                </w:r>
              </w:p>
            </w:txbxContent>
          </v:textbox>
          <w10:wrap type="none"/>
        </v:shape>
      </w:pict>
    </w:r>
    <w:r>
      <w:rPr/>
      <w:pict>
        <v:shape style="position:absolute;margin-left:146.5pt;margin-top:109.22187pt;width:33pt;height:33.35pt;mso-position-horizontal-relative:page;mso-position-vertical-relative:page;z-index:-16209920"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22187pt;width:45.4pt;height:33.35pt;mso-position-horizontal-relative:page;mso-position-vertical-relative:page;z-index:-16209408"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18187pt;width:85.4pt;height:13.45pt;mso-position-horizontal-relative:page;mso-position-vertical-relative:page;z-index:-16208896"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18187pt;width:56.3pt;height:13.45pt;mso-position-horizontal-relative:page;mso-position-vertical-relative:page;z-index:-16208384" type="#_x0000_t202" filled="false" stroked="false">
          <v:textbox inset="0,0,0,0">
            <w:txbxContent>
              <w:p>
                <w:pPr>
                  <w:pStyle w:val="BodyText"/>
                  <w:spacing w:before="20"/>
                  <w:ind w:left="20"/>
                </w:pPr>
                <w:r>
                  <w:rPr/>
                  <w:t>Rate of duty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8.264pt;margin-top:108.01989pt;width:479.65pt;height:.75pt;mso-position-horizontal-relative:page;mso-position-vertical-relative:page;z-index:-16206336"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r>
      <w:rPr/>
      <w:pict>
        <v:shape style="position:absolute;margin-left:218.050003pt;margin-top:34.21664pt;width:198.7pt;height:55.4pt;mso-position-horizontal-relative:page;mso-position-vertical-relative:page;z-index:-16205824"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4.103996pt;margin-top:95.781876pt;width:14.75pt;height:13.45pt;mso-position-horizontal-relative:page;mso-position-vertical-relative:page;z-index:-16205312" type="#_x0000_t202" filled="false" stroked="false">
          <v:textbox inset="0,0,0,0">
            <w:txbxContent>
              <w:p>
                <w:pPr>
                  <w:pStyle w:val="BodyText"/>
                  <w:spacing w:before="20"/>
                  <w:ind w:left="20"/>
                </w:pPr>
                <w:r>
                  <w:rPr/>
                  <w:t>R.4</w:t>
                </w:r>
              </w:p>
            </w:txbxContent>
          </v:textbox>
          <w10:wrap type="none"/>
        </v:shape>
      </w:pict>
    </w:r>
    <w:r>
      <w:rPr/>
      <w:pict>
        <v:shape style="position:absolute;margin-left:503.220001pt;margin-top:95.781876pt;width:56.7pt;height:13.45pt;mso-position-horizontal-relative:page;mso-position-vertical-relative:page;z-index:-16204800" type="#_x0000_t202" filled="false" stroked="false">
          <v:textbox inset="0,0,0,0">
            <w:txbxContent>
              <w:p>
                <w:pPr>
                  <w:pStyle w:val="BodyText"/>
                  <w:spacing w:before="20"/>
                  <w:ind w:left="20"/>
                </w:pPr>
                <w:r>
                  <w:rPr/>
                  <w:t>Schedule 4/17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64pt;width:481.65pt;height:75pt;mso-position-horizontal-relative:page;mso-position-vertical-relative:page;z-index:-16202240" type="#_x0000_t202" filled="false" stroked="false">
          <v:textbox inset="0,0,0,0">
            <w:txbxContent>
              <w:p>
                <w:pPr>
                  <w:spacing w:line="348" w:lineRule="auto" w:before="12"/>
                  <w:ind w:left="3723" w:right="3751" w:firstLine="0"/>
                  <w:jc w:val="center"/>
                  <w:rPr>
                    <w:rFonts w:ascii="Arial"/>
                    <w:b/>
                    <w:sz w:val="24"/>
                  </w:rPr>
                </w:pPr>
                <w:r>
                  <w:rPr>
                    <w:rFonts w:ascii="Arial"/>
                    <w:b/>
                    <w:sz w:val="24"/>
                  </w:rPr>
                  <w:t>CUSTOMS TARIFF SCHEDULE 4</w:t>
                </w:r>
              </w:p>
              <w:p>
                <w:pPr>
                  <w:spacing w:line="275" w:lineRule="exact" w:before="0"/>
                  <w:ind w:left="0" w:right="25" w:firstLine="0"/>
                  <w:jc w:val="center"/>
                  <w:rPr>
                    <w:rFonts w:ascii="Arial"/>
                    <w:b/>
                    <w:sz w:val="24"/>
                  </w:rPr>
                </w:pPr>
                <w:r>
                  <w:rPr>
                    <w:rFonts w:ascii="Arial"/>
                    <w:b/>
                    <w:sz w:val="24"/>
                  </w:rPr>
                  <w:t>CONCESSIONAL RATES OF DUTY</w:t>
                </w:r>
              </w:p>
              <w:p>
                <w:pPr>
                  <w:pStyle w:val="BodyText"/>
                  <w:tabs>
                    <w:tab w:pos="9592" w:val="left" w:leader="none"/>
                  </w:tabs>
                  <w:spacing w:before="164"/>
                  <w:jc w:val="center"/>
                </w:pPr>
                <w:r>
                  <w:rPr>
                    <w:u w:val="single"/>
                  </w:rPr>
                  <w:t>Schedule</w:t>
                </w:r>
                <w:r>
                  <w:rPr>
                    <w:spacing w:val="-9"/>
                    <w:u w:val="single"/>
                  </w:rPr>
                  <w:t> </w:t>
                </w:r>
                <w:r>
                  <w:rPr>
                    <w:u w:val="single"/>
                  </w:rPr>
                  <w:t>4/18</w:t>
                  <w:tab/>
                </w:r>
              </w:p>
            </w:txbxContent>
          </v:textbox>
          <w10:wrap type="none"/>
        </v:shape>
      </w:pict>
    </w:r>
    <w:r>
      <w:rPr/>
      <w:pict>
        <v:shape style="position:absolute;margin-left:82.664001pt;margin-top:110.661873pt;width:53.1pt;height:24.95pt;mso-position-horizontal-relative:page;mso-position-vertical-relative:page;z-index:-16201728" type="#_x0000_t202" filled="false" stroked="false">
          <v:textbox inset="0,0,0,0">
            <w:txbxContent>
              <w:p>
                <w:pPr>
                  <w:pStyle w:val="BodyText"/>
                  <w:tabs>
                    <w:tab w:pos="586" w:val="left" w:leader="none"/>
                  </w:tabs>
                  <w:spacing w:before="20"/>
                  <w:ind w:left="586" w:right="18" w:hanging="567"/>
                </w:pPr>
                <w:r>
                  <w:rPr/>
                  <w:t>Item</w:t>
                  <w:tab/>
                  <w:t>Treat- ment</w:t>
                </w:r>
              </w:p>
            </w:txbxContent>
          </v:textbox>
          <w10:wrap type="none"/>
        </v:shape>
      </w:pict>
    </w:r>
    <w:r>
      <w:rPr/>
      <w:pict>
        <v:shape style="position:absolute;margin-left:146.5pt;margin-top:110.661873pt;width:25.6pt;height:24.95pt;mso-position-horizontal-relative:page;mso-position-vertical-relative:page;z-index:-1620121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873pt;width:40.75pt;height:24.95pt;mso-position-horizontal-relative:page;mso-position-vertical-relative:page;z-index:-16200704"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877pt;width:85.4pt;height:13.45pt;mso-position-horizontal-relative:page;mso-position-vertical-relative:page;z-index:-1620019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877pt;width:26.55pt;height:13.45pt;mso-position-horizontal-relative:page;mso-position-vertical-relative:page;z-index:-16199680"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874pt;width:482.35pt;height:13.45pt;mso-position-horizontal-relative:page;mso-position-vertical-relative:page;z-index:-16199168"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77.490005pt;margin-top:28.45664pt;width:277.95pt;height:15.45pt;mso-position-horizontal-relative:page;mso-position-vertical-relative:page;z-index:-16196608" type="#_x0000_t202" filled="false" stroked="false">
          <v:textbox inset="0,0,0,0">
            <w:txbxContent>
              <w:p>
                <w:pPr>
                  <w:spacing w:before="12"/>
                  <w:ind w:left="20" w:right="0" w:firstLine="0"/>
                  <w:jc w:val="left"/>
                  <w:rPr>
                    <w:rFonts w:ascii="Arial"/>
                    <w:b/>
                    <w:sz w:val="24"/>
                  </w:rPr>
                </w:pPr>
                <w:r>
                  <w:rPr>
                    <w:rFonts w:ascii="Arial"/>
                    <w:b/>
                    <w:sz w:val="24"/>
                  </w:rPr>
                  <w:t>SCHEDULE OF CONCESSIONAL INSTRUMENTS</w:t>
                </w:r>
              </w:p>
            </w:txbxContent>
          </v:textbox>
          <w10:wrap type="none"/>
        </v:shape>
      </w:pict>
    </w:r>
    <w:r>
      <w:rPr/>
      <w:pict>
        <v:shape style="position:absolute;margin-left:170.889999pt;margin-top:53.53664pt;width:291.25pt;height:59.5pt;mso-position-horizontal-relative:page;mso-position-vertical-relative:page;z-index:-16196096" type="#_x0000_t202" filled="false" stroked="false">
          <v:textbox inset="0,0,0,0">
            <w:txbxContent>
              <w:p>
                <w:pPr>
                  <w:spacing w:before="12"/>
                  <w:ind w:left="7" w:right="8" w:firstLine="0"/>
                  <w:jc w:val="center"/>
                  <w:rPr>
                    <w:rFonts w:ascii="Arial"/>
                    <w:b/>
                    <w:sz w:val="24"/>
                  </w:rPr>
                </w:pPr>
                <w:r>
                  <w:rPr>
                    <w:rFonts w:ascii="Arial"/>
                    <w:b/>
                    <w:sz w:val="24"/>
                  </w:rPr>
                  <w:t>PART II</w:t>
                </w:r>
              </w:p>
              <w:p>
                <w:pPr>
                  <w:spacing w:line="440" w:lineRule="atLeast" w:before="1"/>
                  <w:ind w:left="10" w:right="8" w:firstLine="0"/>
                  <w:jc w:val="center"/>
                  <w:rPr>
                    <w:rFonts w:ascii="Arial"/>
                    <w:b/>
                    <w:sz w:val="24"/>
                  </w:rPr>
                </w:pPr>
                <w:r>
                  <w:rPr>
                    <w:rFonts w:ascii="Arial"/>
                    <w:b/>
                    <w:sz w:val="24"/>
                  </w:rPr>
                  <w:t>INSTRUMENTS ISSUED TO ITEMS IN SCHEDULE 4 CUSTOMS TARIFF ACT 1995</w:t>
                </w:r>
              </w:p>
            </w:txbxContent>
          </v:textbox>
          <w10:wrap type="none"/>
        </v:shape>
      </w:pict>
    </w:r>
    <w:r>
      <w:rPr/>
      <w:pict>
        <v:shape style="position:absolute;margin-left:513.080017pt;margin-top:110.123398pt;width:43.55pt;height:13.15pt;mso-position-horizontal-relative:page;mso-position-vertical-relative:page;z-index:-16195584" type="#_x0000_t202" filled="false" stroked="false">
          <v:textbox inset="0,0,0,0">
            <w:txbxContent>
              <w:p>
                <w:pPr>
                  <w:pStyle w:val="BodyText"/>
                  <w:spacing w:before="12"/>
                  <w:ind w:left="20"/>
                  <w:rPr>
                    <w:rFonts w:ascii="Arial"/>
                  </w:rPr>
                </w:pPr>
                <w:r>
                  <w:rPr>
                    <w:rFonts w:ascii="Arial"/>
                  </w:rPr>
                  <w:t>Part 2/21</w:t>
                </w:r>
              </w:p>
            </w:txbxContent>
          </v:textbox>
          <w10:wrap type="none"/>
        </v:shape>
      </w:pict>
    </w:r>
    <w:r>
      <w:rPr/>
      <w:pict>
        <v:shape style="position:absolute;margin-left:80.143997pt;margin-top:110.781876pt;width:14.75pt;height:13.45pt;mso-position-horizontal-relative:page;mso-position-vertical-relative:page;z-index:-16195072" type="#_x0000_t202" filled="false" stroked="false">
          <v:textbox inset="0,0,0,0">
            <w:txbxContent>
              <w:p>
                <w:pPr>
                  <w:pStyle w:val="BodyText"/>
                  <w:spacing w:before="20"/>
                  <w:ind w:left="20"/>
                </w:pPr>
                <w:r>
                  <w:rPr/>
                  <w:t>R.2</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0.860001pt;margin-top:28.45664pt;width:277.850pt;height:15.45pt;mso-position-horizontal-relative:page;mso-position-vertical-relative:page;z-index:-16194048" type="#_x0000_t202" filled="false" stroked="false">
          <v:textbox inset="0,0,0,0">
            <w:txbxContent>
              <w:p>
                <w:pPr>
                  <w:spacing w:before="12"/>
                  <w:ind w:left="20" w:right="0" w:firstLine="0"/>
                  <w:jc w:val="left"/>
                  <w:rPr>
                    <w:rFonts w:ascii="Arial"/>
                    <w:b/>
                    <w:sz w:val="24"/>
                  </w:rPr>
                </w:pPr>
                <w:r>
                  <w:rPr>
                    <w:rFonts w:ascii="Arial"/>
                    <w:b/>
                    <w:sz w:val="24"/>
                  </w:rPr>
                  <w:t>SCHEDULE OF CONCESSIONAL INSTRUMENTS</w:t>
                </w:r>
              </w:p>
            </w:txbxContent>
          </v:textbox>
          <w10:wrap type="none"/>
        </v:shape>
      </w:pict>
    </w:r>
    <w:r>
      <w:rPr/>
      <w:pict>
        <v:shape style="position:absolute;margin-left:134.259995pt;margin-top:53.53664pt;width:291.25pt;height:59.5pt;mso-position-horizontal-relative:page;mso-position-vertical-relative:page;z-index:-16193536" type="#_x0000_t202" filled="false" stroked="false">
          <v:textbox inset="0,0,0,0">
            <w:txbxContent>
              <w:p>
                <w:pPr>
                  <w:spacing w:before="12"/>
                  <w:ind w:left="8" w:right="8" w:firstLine="0"/>
                  <w:jc w:val="center"/>
                  <w:rPr>
                    <w:rFonts w:ascii="Arial"/>
                    <w:b/>
                    <w:sz w:val="24"/>
                  </w:rPr>
                </w:pPr>
                <w:r>
                  <w:rPr>
                    <w:rFonts w:ascii="Arial"/>
                    <w:b/>
                    <w:sz w:val="24"/>
                  </w:rPr>
                  <w:t>PART II</w:t>
                </w:r>
              </w:p>
              <w:p>
                <w:pPr>
                  <w:spacing w:line="440" w:lineRule="atLeast" w:before="1"/>
                  <w:ind w:left="10" w:right="8" w:firstLine="0"/>
                  <w:jc w:val="center"/>
                  <w:rPr>
                    <w:rFonts w:ascii="Arial"/>
                    <w:b/>
                    <w:sz w:val="24"/>
                  </w:rPr>
                </w:pPr>
                <w:r>
                  <w:rPr>
                    <w:rFonts w:ascii="Arial"/>
                    <w:b/>
                    <w:sz w:val="24"/>
                  </w:rPr>
                  <w:t>INSTRUMENTS ISSUED TO ITEMS IN SCHEDULE 4 CUSTOMS TARIFF ACT 1995</w:t>
                </w:r>
              </w:p>
            </w:txbxContent>
          </v:textbox>
          <w10:wrap type="none"/>
        </v:shape>
      </w:pict>
    </w:r>
    <w:r>
      <w:rPr/>
      <w:pict>
        <v:shape style="position:absolute;margin-left:39.799999pt;margin-top:110.123398pt;width:43.55pt;height:13.15pt;mso-position-horizontal-relative:page;mso-position-vertical-relative:page;z-index:-16193024" type="#_x0000_t202" filled="false" stroked="false">
          <v:textbox inset="0,0,0,0">
            <w:txbxContent>
              <w:p>
                <w:pPr>
                  <w:pStyle w:val="BodyText"/>
                  <w:spacing w:before="12"/>
                  <w:ind w:left="20"/>
                  <w:rPr>
                    <w:rFonts w:ascii="Arial"/>
                  </w:rPr>
                </w:pPr>
                <w:r>
                  <w:rPr>
                    <w:rFonts w:ascii="Arial"/>
                  </w:rPr>
                  <w:t>Part 2/22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299" w:hanging="567"/>
        <w:jc w:val="left"/>
      </w:pPr>
      <w:rPr>
        <w:rFonts w:hint="default" w:ascii="Times New Roman" w:hAnsi="Times New Roman" w:eastAsia="Times New Roman" w:cs="Times New Roman"/>
        <w:spacing w:val="0"/>
        <w:w w:val="99"/>
        <w:sz w:val="20"/>
        <w:szCs w:val="20"/>
        <w:lang w:val="en-au" w:eastAsia="en-US" w:bidi="ar-SA"/>
      </w:rPr>
    </w:lvl>
    <w:lvl w:ilvl="1">
      <w:start w:val="1"/>
      <w:numFmt w:val="lowerLetter"/>
      <w:lvlText w:val="(%2)"/>
      <w:lvlJc w:val="left"/>
      <w:pPr>
        <w:ind w:left="2866" w:hanging="567"/>
        <w:jc w:val="left"/>
      </w:pPr>
      <w:rPr>
        <w:rFonts w:hint="default" w:ascii="Times New Roman" w:hAnsi="Times New Roman" w:eastAsia="Times New Roman" w:cs="Times New Roman"/>
        <w:w w:val="99"/>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4" w:hanging="567"/>
      </w:pPr>
      <w:rPr>
        <w:rFonts w:hint="default"/>
        <w:lang w:val="en-au" w:eastAsia="en-US" w:bidi="ar-SA"/>
      </w:rPr>
    </w:lvl>
    <w:lvl w:ilvl="5">
      <w:start w:val="0"/>
      <w:numFmt w:val="bullet"/>
      <w:lvlText w:val="•"/>
      <w:lvlJc w:val="left"/>
      <w:pPr>
        <w:ind w:left="5305" w:hanging="567"/>
      </w:pPr>
      <w:rPr>
        <w:rFonts w:hint="default"/>
        <w:lang w:val="en-au" w:eastAsia="en-US" w:bidi="ar-SA"/>
      </w:rPr>
    </w:lvl>
    <w:lvl w:ilvl="6">
      <w:start w:val="0"/>
      <w:numFmt w:val="bullet"/>
      <w:lvlText w:val="•"/>
      <w:lvlJc w:val="left"/>
      <w:pPr>
        <w:ind w:left="5917" w:hanging="567"/>
      </w:pPr>
      <w:rPr>
        <w:rFonts w:hint="default"/>
        <w:lang w:val="en-au" w:eastAsia="en-US" w:bidi="ar-SA"/>
      </w:rPr>
    </w:lvl>
    <w:lvl w:ilvl="7">
      <w:start w:val="0"/>
      <w:numFmt w:val="bullet"/>
      <w:lvlText w:val="•"/>
      <w:lvlJc w:val="left"/>
      <w:pPr>
        <w:ind w:left="6528" w:hanging="567"/>
      </w:pPr>
      <w:rPr>
        <w:rFonts w:hint="default"/>
        <w:lang w:val="en-au" w:eastAsia="en-US" w:bidi="ar-SA"/>
      </w:rPr>
    </w:lvl>
    <w:lvl w:ilvl="8">
      <w:start w:val="0"/>
      <w:numFmt w:val="bullet"/>
      <w:lvlText w:val="•"/>
      <w:lvlJc w:val="left"/>
      <w:pPr>
        <w:ind w:left="7140" w:hanging="567"/>
      </w:pPr>
      <w:rPr>
        <w:rFonts w:hint="default"/>
        <w:lang w:val="en-au" w:eastAsia="en-US" w:bidi="ar-SA"/>
      </w:rPr>
    </w:lvl>
  </w:abstractNum>
  <w:abstractNum w:abstractNumId="4">
    <w:multiLevelType w:val="hybridMultilevel"/>
    <w:lvl w:ilvl="0">
      <w:start w:val="0"/>
      <w:numFmt w:val="bullet"/>
      <w:lvlText w:val=""/>
      <w:lvlJc w:val="left"/>
      <w:pPr>
        <w:ind w:left="434" w:hanging="329"/>
      </w:pPr>
      <w:rPr>
        <w:rFonts w:hint="default" w:ascii="Wingdings" w:hAnsi="Wingdings" w:eastAsia="Wingdings" w:cs="Wingdings"/>
        <w:w w:val="99"/>
        <w:sz w:val="20"/>
        <w:szCs w:val="20"/>
        <w:lang w:val="en-au" w:eastAsia="en-US" w:bidi="ar-SA"/>
      </w:rPr>
    </w:lvl>
    <w:lvl w:ilvl="1">
      <w:start w:val="2"/>
      <w:numFmt w:val="decimal"/>
      <w:lvlText w:val="%2."/>
      <w:lvlJc w:val="left"/>
      <w:pPr>
        <w:ind w:left="2160" w:hanging="428"/>
        <w:jc w:val="left"/>
      </w:pPr>
      <w:rPr>
        <w:rFonts w:hint="default" w:ascii="Times New Roman" w:hAnsi="Times New Roman" w:eastAsia="Times New Roman" w:cs="Times New Roman"/>
        <w:spacing w:val="0"/>
        <w:w w:val="99"/>
        <w:sz w:val="20"/>
        <w:szCs w:val="20"/>
        <w:lang w:val="en-au" w:eastAsia="en-US" w:bidi="ar-SA"/>
      </w:rPr>
    </w:lvl>
    <w:lvl w:ilvl="2">
      <w:start w:val="0"/>
      <w:numFmt w:val="bullet"/>
      <w:lvlText w:val="•"/>
      <w:lvlJc w:val="left"/>
      <w:pPr>
        <w:ind w:left="2849" w:hanging="428"/>
      </w:pPr>
      <w:rPr>
        <w:rFonts w:hint="default"/>
        <w:lang w:val="en-au" w:eastAsia="en-US" w:bidi="ar-SA"/>
      </w:rPr>
    </w:lvl>
    <w:lvl w:ilvl="3">
      <w:start w:val="0"/>
      <w:numFmt w:val="bullet"/>
      <w:lvlText w:val="•"/>
      <w:lvlJc w:val="left"/>
      <w:pPr>
        <w:ind w:left="3538" w:hanging="428"/>
      </w:pPr>
      <w:rPr>
        <w:rFonts w:hint="default"/>
        <w:lang w:val="en-au" w:eastAsia="en-US" w:bidi="ar-SA"/>
      </w:rPr>
    </w:lvl>
    <w:lvl w:ilvl="4">
      <w:start w:val="0"/>
      <w:numFmt w:val="bullet"/>
      <w:lvlText w:val="•"/>
      <w:lvlJc w:val="left"/>
      <w:pPr>
        <w:ind w:left="4227" w:hanging="428"/>
      </w:pPr>
      <w:rPr>
        <w:rFonts w:hint="default"/>
        <w:lang w:val="en-au" w:eastAsia="en-US" w:bidi="ar-SA"/>
      </w:rPr>
    </w:lvl>
    <w:lvl w:ilvl="5">
      <w:start w:val="0"/>
      <w:numFmt w:val="bullet"/>
      <w:lvlText w:val="•"/>
      <w:lvlJc w:val="left"/>
      <w:pPr>
        <w:ind w:left="4916" w:hanging="428"/>
      </w:pPr>
      <w:rPr>
        <w:rFonts w:hint="default"/>
        <w:lang w:val="en-au" w:eastAsia="en-US" w:bidi="ar-SA"/>
      </w:rPr>
    </w:lvl>
    <w:lvl w:ilvl="6">
      <w:start w:val="0"/>
      <w:numFmt w:val="bullet"/>
      <w:lvlText w:val="•"/>
      <w:lvlJc w:val="left"/>
      <w:pPr>
        <w:ind w:left="5606" w:hanging="428"/>
      </w:pPr>
      <w:rPr>
        <w:rFonts w:hint="default"/>
        <w:lang w:val="en-au" w:eastAsia="en-US" w:bidi="ar-SA"/>
      </w:rPr>
    </w:lvl>
    <w:lvl w:ilvl="7">
      <w:start w:val="0"/>
      <w:numFmt w:val="bullet"/>
      <w:lvlText w:val="•"/>
      <w:lvlJc w:val="left"/>
      <w:pPr>
        <w:ind w:left="6295" w:hanging="428"/>
      </w:pPr>
      <w:rPr>
        <w:rFonts w:hint="default"/>
        <w:lang w:val="en-au" w:eastAsia="en-US" w:bidi="ar-SA"/>
      </w:rPr>
    </w:lvl>
    <w:lvl w:ilvl="8">
      <w:start w:val="0"/>
      <w:numFmt w:val="bullet"/>
      <w:lvlText w:val="•"/>
      <w:lvlJc w:val="left"/>
      <w:pPr>
        <w:ind w:left="6984" w:hanging="428"/>
      </w:pPr>
      <w:rPr>
        <w:rFonts w:hint="default"/>
        <w:lang w:val="en-au" w:eastAsia="en-US" w:bidi="ar-SA"/>
      </w:rPr>
    </w:lvl>
  </w:abstractNum>
  <w:abstractNum w:abstractNumId="3">
    <w:multiLevelType w:val="hybridMultilevel"/>
    <w:lvl w:ilvl="0">
      <w:start w:val="1"/>
      <w:numFmt w:val="lowerLetter"/>
      <w:lvlText w:val="(%1)"/>
      <w:lvlJc w:val="left"/>
      <w:pPr>
        <w:ind w:left="125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97" w:hanging="284"/>
      </w:pPr>
      <w:rPr>
        <w:rFonts w:hint="default"/>
        <w:lang w:val="en-au" w:eastAsia="en-US" w:bidi="ar-SA"/>
      </w:rPr>
    </w:lvl>
    <w:lvl w:ilvl="2">
      <w:start w:val="0"/>
      <w:numFmt w:val="bullet"/>
      <w:lvlText w:val="•"/>
      <w:lvlJc w:val="left"/>
      <w:pPr>
        <w:ind w:left="2134"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08" w:hanging="284"/>
      </w:pPr>
      <w:rPr>
        <w:rFonts w:hint="default"/>
        <w:lang w:val="en-au" w:eastAsia="en-US" w:bidi="ar-SA"/>
      </w:rPr>
    </w:lvl>
    <w:lvl w:ilvl="5">
      <w:start w:val="0"/>
      <w:numFmt w:val="bullet"/>
      <w:lvlText w:val="•"/>
      <w:lvlJc w:val="left"/>
      <w:pPr>
        <w:ind w:left="3445" w:hanging="284"/>
      </w:pPr>
      <w:rPr>
        <w:rFonts w:hint="default"/>
        <w:lang w:val="en-au" w:eastAsia="en-US" w:bidi="ar-SA"/>
      </w:rPr>
    </w:lvl>
    <w:lvl w:ilvl="6">
      <w:start w:val="0"/>
      <w:numFmt w:val="bullet"/>
      <w:lvlText w:val="•"/>
      <w:lvlJc w:val="left"/>
      <w:pPr>
        <w:ind w:left="3882" w:hanging="284"/>
      </w:pPr>
      <w:rPr>
        <w:rFonts w:hint="default"/>
        <w:lang w:val="en-au" w:eastAsia="en-US" w:bidi="ar-SA"/>
      </w:rPr>
    </w:lvl>
    <w:lvl w:ilvl="7">
      <w:start w:val="0"/>
      <w:numFmt w:val="bullet"/>
      <w:lvlText w:val="•"/>
      <w:lvlJc w:val="left"/>
      <w:pPr>
        <w:ind w:left="4319" w:hanging="284"/>
      </w:pPr>
      <w:rPr>
        <w:rFonts w:hint="default"/>
        <w:lang w:val="en-au" w:eastAsia="en-US" w:bidi="ar-SA"/>
      </w:rPr>
    </w:lvl>
    <w:lvl w:ilvl="8">
      <w:start w:val="0"/>
      <w:numFmt w:val="bullet"/>
      <w:lvlText w:val="•"/>
      <w:lvlJc w:val="left"/>
      <w:pPr>
        <w:ind w:left="4756" w:hanging="284"/>
      </w:pPr>
      <w:rPr>
        <w:rFonts w:hint="default"/>
        <w:lang w:val="en-au" w:eastAsia="en-US" w:bidi="ar-SA"/>
      </w:rPr>
    </w:lvl>
  </w:abstractNum>
  <w:abstractNum w:abstractNumId="2">
    <w:multiLevelType w:val="hybridMultilevel"/>
    <w:lvl w:ilvl="0">
      <w:start w:val="1"/>
      <w:numFmt w:val="lowerLetter"/>
      <w:lvlText w:val="(%1)"/>
      <w:lvlJc w:val="left"/>
      <w:pPr>
        <w:ind w:left="893" w:hanging="285"/>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386" w:hanging="285"/>
      </w:pPr>
      <w:rPr>
        <w:rFonts w:hint="default"/>
        <w:lang w:val="en-au" w:eastAsia="en-US" w:bidi="ar-SA"/>
      </w:rPr>
    </w:lvl>
    <w:lvl w:ilvl="2">
      <w:start w:val="0"/>
      <w:numFmt w:val="bullet"/>
      <w:lvlText w:val="•"/>
      <w:lvlJc w:val="left"/>
      <w:pPr>
        <w:ind w:left="1873" w:hanging="285"/>
      </w:pPr>
      <w:rPr>
        <w:rFonts w:hint="default"/>
        <w:lang w:val="en-au" w:eastAsia="en-US" w:bidi="ar-SA"/>
      </w:rPr>
    </w:lvl>
    <w:lvl w:ilvl="3">
      <w:start w:val="0"/>
      <w:numFmt w:val="bullet"/>
      <w:lvlText w:val="•"/>
      <w:lvlJc w:val="left"/>
      <w:pPr>
        <w:ind w:left="2360" w:hanging="285"/>
      </w:pPr>
      <w:rPr>
        <w:rFonts w:hint="default"/>
        <w:lang w:val="en-au" w:eastAsia="en-US" w:bidi="ar-SA"/>
      </w:rPr>
    </w:lvl>
    <w:lvl w:ilvl="4">
      <w:start w:val="0"/>
      <w:numFmt w:val="bullet"/>
      <w:lvlText w:val="•"/>
      <w:lvlJc w:val="left"/>
      <w:pPr>
        <w:ind w:left="2847" w:hanging="285"/>
      </w:pPr>
      <w:rPr>
        <w:rFonts w:hint="default"/>
        <w:lang w:val="en-au" w:eastAsia="en-US" w:bidi="ar-SA"/>
      </w:rPr>
    </w:lvl>
    <w:lvl w:ilvl="5">
      <w:start w:val="0"/>
      <w:numFmt w:val="bullet"/>
      <w:lvlText w:val="•"/>
      <w:lvlJc w:val="left"/>
      <w:pPr>
        <w:ind w:left="3334" w:hanging="285"/>
      </w:pPr>
      <w:rPr>
        <w:rFonts w:hint="default"/>
        <w:lang w:val="en-au" w:eastAsia="en-US" w:bidi="ar-SA"/>
      </w:rPr>
    </w:lvl>
    <w:lvl w:ilvl="6">
      <w:start w:val="0"/>
      <w:numFmt w:val="bullet"/>
      <w:lvlText w:val="•"/>
      <w:lvlJc w:val="left"/>
      <w:pPr>
        <w:ind w:left="3820" w:hanging="285"/>
      </w:pPr>
      <w:rPr>
        <w:rFonts w:hint="default"/>
        <w:lang w:val="en-au" w:eastAsia="en-US" w:bidi="ar-SA"/>
      </w:rPr>
    </w:lvl>
    <w:lvl w:ilvl="7">
      <w:start w:val="0"/>
      <w:numFmt w:val="bullet"/>
      <w:lvlText w:val="•"/>
      <w:lvlJc w:val="left"/>
      <w:pPr>
        <w:ind w:left="4307" w:hanging="285"/>
      </w:pPr>
      <w:rPr>
        <w:rFonts w:hint="default"/>
        <w:lang w:val="en-au" w:eastAsia="en-US" w:bidi="ar-SA"/>
      </w:rPr>
    </w:lvl>
    <w:lvl w:ilvl="8">
      <w:start w:val="0"/>
      <w:numFmt w:val="bullet"/>
      <w:lvlText w:val="•"/>
      <w:lvlJc w:val="left"/>
      <w:pPr>
        <w:ind w:left="4794" w:hanging="285"/>
      </w:pPr>
      <w:rPr>
        <w:rFonts w:hint="default"/>
        <w:lang w:val="en-au" w:eastAsia="en-US" w:bidi="ar-SA"/>
      </w:rPr>
    </w:lvl>
  </w:abstractNum>
  <w:abstractNum w:abstractNumId="1">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80" w:hanging="284"/>
      </w:pPr>
      <w:rPr>
        <w:rFonts w:hint="default"/>
        <w:lang w:val="en-au" w:eastAsia="en-US" w:bidi="ar-SA"/>
      </w:rPr>
    </w:lvl>
    <w:lvl w:ilvl="2">
      <w:start w:val="0"/>
      <w:numFmt w:val="bullet"/>
      <w:lvlText w:val="•"/>
      <w:lvlJc w:val="left"/>
      <w:pPr>
        <w:ind w:left="1341" w:hanging="284"/>
      </w:pPr>
      <w:rPr>
        <w:rFonts w:hint="default"/>
        <w:lang w:val="en-au" w:eastAsia="en-US" w:bidi="ar-SA"/>
      </w:rPr>
    </w:lvl>
    <w:lvl w:ilvl="3">
      <w:start w:val="0"/>
      <w:numFmt w:val="bullet"/>
      <w:lvlText w:val="•"/>
      <w:lvlJc w:val="left"/>
      <w:pPr>
        <w:ind w:left="1801" w:hanging="284"/>
      </w:pPr>
      <w:rPr>
        <w:rFonts w:hint="default"/>
        <w:lang w:val="en-au" w:eastAsia="en-US" w:bidi="ar-SA"/>
      </w:rPr>
    </w:lvl>
    <w:lvl w:ilvl="4">
      <w:start w:val="0"/>
      <w:numFmt w:val="bullet"/>
      <w:lvlText w:val="•"/>
      <w:lvlJc w:val="left"/>
      <w:pPr>
        <w:ind w:left="2262"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83" w:hanging="284"/>
      </w:pPr>
      <w:rPr>
        <w:rFonts w:hint="default"/>
        <w:lang w:val="en-au" w:eastAsia="en-US" w:bidi="ar-SA"/>
      </w:rPr>
    </w:lvl>
    <w:lvl w:ilvl="7">
      <w:start w:val="0"/>
      <w:numFmt w:val="bullet"/>
      <w:lvlText w:val="•"/>
      <w:lvlJc w:val="left"/>
      <w:pPr>
        <w:ind w:left="3644" w:hanging="284"/>
      </w:pPr>
      <w:rPr>
        <w:rFonts w:hint="default"/>
        <w:lang w:val="en-au" w:eastAsia="en-US" w:bidi="ar-SA"/>
      </w:rPr>
    </w:lvl>
    <w:lvl w:ilvl="8">
      <w:start w:val="0"/>
      <w:numFmt w:val="bullet"/>
      <w:lvlText w:val="•"/>
      <w:lvlJc w:val="left"/>
      <w:pPr>
        <w:ind w:left="4104" w:hanging="284"/>
      </w:pPr>
      <w:rPr>
        <w:rFonts w:hint="default"/>
        <w:lang w:val="en-au" w:eastAsia="en-US" w:bidi="ar-SA"/>
      </w:rPr>
    </w:lvl>
  </w:abstractNum>
  <w:abstractNum w:abstractNumId="0">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80" w:hanging="284"/>
      </w:pPr>
      <w:rPr>
        <w:rFonts w:hint="default"/>
        <w:lang w:val="en-au" w:eastAsia="en-US" w:bidi="ar-SA"/>
      </w:rPr>
    </w:lvl>
    <w:lvl w:ilvl="2">
      <w:start w:val="0"/>
      <w:numFmt w:val="bullet"/>
      <w:lvlText w:val="•"/>
      <w:lvlJc w:val="left"/>
      <w:pPr>
        <w:ind w:left="1341" w:hanging="284"/>
      </w:pPr>
      <w:rPr>
        <w:rFonts w:hint="default"/>
        <w:lang w:val="en-au" w:eastAsia="en-US" w:bidi="ar-SA"/>
      </w:rPr>
    </w:lvl>
    <w:lvl w:ilvl="3">
      <w:start w:val="0"/>
      <w:numFmt w:val="bullet"/>
      <w:lvlText w:val="•"/>
      <w:lvlJc w:val="left"/>
      <w:pPr>
        <w:ind w:left="1801" w:hanging="284"/>
      </w:pPr>
      <w:rPr>
        <w:rFonts w:hint="default"/>
        <w:lang w:val="en-au" w:eastAsia="en-US" w:bidi="ar-SA"/>
      </w:rPr>
    </w:lvl>
    <w:lvl w:ilvl="4">
      <w:start w:val="0"/>
      <w:numFmt w:val="bullet"/>
      <w:lvlText w:val="•"/>
      <w:lvlJc w:val="left"/>
      <w:pPr>
        <w:ind w:left="2262"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83" w:hanging="284"/>
      </w:pPr>
      <w:rPr>
        <w:rFonts w:hint="default"/>
        <w:lang w:val="en-au" w:eastAsia="en-US" w:bidi="ar-SA"/>
      </w:rPr>
    </w:lvl>
    <w:lvl w:ilvl="7">
      <w:start w:val="0"/>
      <w:numFmt w:val="bullet"/>
      <w:lvlText w:val="•"/>
      <w:lvlJc w:val="left"/>
      <w:pPr>
        <w:ind w:left="3644" w:hanging="284"/>
      </w:pPr>
      <w:rPr>
        <w:rFonts w:hint="default"/>
        <w:lang w:val="en-au" w:eastAsia="en-US" w:bidi="ar-SA"/>
      </w:rPr>
    </w:lvl>
    <w:lvl w:ilvl="8">
      <w:start w:val="0"/>
      <w:numFmt w:val="bullet"/>
      <w:lvlText w:val="•"/>
      <w:lvlJc w:val="left"/>
      <w:pPr>
        <w:ind w:left="4104" w:hanging="284"/>
      </w:pPr>
      <w:rPr>
        <w:rFonts w:hint="default"/>
        <w:lang w:val="en-au"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88"/>
      <w:ind w:left="2853" w:right="1125"/>
      <w:outlineLvl w:val="1"/>
    </w:pPr>
    <w:rPr>
      <w:rFonts w:ascii="Arial" w:hAnsi="Arial" w:eastAsia="Arial" w:cs="Arial"/>
      <w:sz w:val="40"/>
      <w:szCs w:val="40"/>
      <w:lang w:val="en-au" w:eastAsia="en-US" w:bidi="ar-SA"/>
    </w:rPr>
  </w:style>
  <w:style w:styleId="Heading2" w:type="paragraph">
    <w:name w:val="Heading 2"/>
    <w:basedOn w:val="Normal"/>
    <w:uiPriority w:val="1"/>
    <w:qFormat/>
    <w:pPr>
      <w:spacing w:before="12"/>
      <w:jc w:val="center"/>
      <w:outlineLvl w:val="2"/>
    </w:pPr>
    <w:rPr>
      <w:rFonts w:ascii="Arial" w:hAnsi="Arial" w:eastAsia="Arial" w:cs="Arial"/>
      <w:b/>
      <w:bCs/>
      <w:sz w:val="24"/>
      <w:szCs w:val="24"/>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importing-exporting-and-manufacturing/tariff-classification/current-tariff/schedule-4" TargetMode="External"/><Relationship Id="rId7" Type="http://schemas.openxmlformats.org/officeDocument/2006/relationships/hyperlink" Target="https://www.business.gov.au/assistance/space-concessi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ACN 2019-33;  ACN 2019/33;  Australian Customs Notice;  Schedule 4 Amendments;  August 2019;  September 2019;  Customs Tariff By-law;  Timor Sea;  Petroleum Activity;  Space Projects;  Item 14;  Item 41</cp:keywords>
  <dc:subject>ACN 2019-33</dc:subject>
  <dc:title>ACN 2019-33 Amendments to Schedule 4 to the Customs Tariff Act 1995</dc:title>
  <dcterms:created xsi:type="dcterms:W3CDTF">2020-12-09T22:56:09Z</dcterms:created>
  <dcterms:modified xsi:type="dcterms:W3CDTF">2020-12-09T22:56:09Z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Microsoft® Word 2016</vt:lpwstr>
  </property>
  <property fmtid="{D5CDD505-2E9C-101B-9397-08002B2CF9AE}" pid="4" name="LastSaved">
    <vt:filetime>2020-12-09T00:00:00Z</vt:filetime>
  </property>
</Properties>
</file>