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6042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6042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3"/>
        </w:rPr>
      </w:pPr>
    </w:p>
    <w:p>
      <w:pPr>
        <w:pStyle w:val="Title"/>
        <w:spacing w:line="247" w:lineRule="auto"/>
      </w:pPr>
      <w:r>
        <w:rPr>
          <w:color w:val="072143"/>
        </w:rPr>
        <w:t>Australian Customs Notice No. 2019/44</w:t>
      </w:r>
    </w:p>
    <w:p>
      <w:pPr>
        <w:spacing w:before="166"/>
        <w:ind w:left="2510" w:right="2512" w:firstLine="0"/>
        <w:jc w:val="center"/>
        <w:rPr>
          <w:sz w:val="40"/>
        </w:rPr>
      </w:pPr>
      <w:r>
        <w:rPr>
          <w:color w:val="946C22"/>
          <w:sz w:val="40"/>
        </w:rPr>
        <w:t>Changes to Biosecurity Cost Recovery</w:t>
      </w:r>
    </w:p>
    <w:p>
      <w:pPr>
        <w:pStyle w:val="BodyText"/>
        <w:spacing w:line="266" w:lineRule="auto" w:before="160"/>
        <w:ind w:left="1077" w:right="2097"/>
      </w:pPr>
      <w:r>
        <w:rPr/>
        <w:t>From 1 January 2020 there will be an increase to the biosecurity cost recovery charge collected on imported goods with a customs value over AUD1000.</w:t>
      </w:r>
    </w:p>
    <w:p>
      <w:pPr>
        <w:pStyle w:val="BodyText"/>
        <w:spacing w:before="6"/>
        <w:rPr>
          <w:sz w:val="21"/>
        </w:rPr>
      </w:pPr>
    </w:p>
    <w:p>
      <w:pPr>
        <w:pStyle w:val="BodyText"/>
        <w:spacing w:line="266" w:lineRule="auto"/>
        <w:ind w:left="1077" w:right="2355"/>
        <w:jc w:val="both"/>
      </w:pPr>
      <w:r>
        <w:rPr/>
        <w:t>The Australian Government is expanding the types of biosecurity activities to be cost recovered. These include biosecurity assurance, analytics and risk mitigation activities administered by the</w:t>
      </w:r>
    </w:p>
    <w:p>
      <w:pPr>
        <w:pStyle w:val="BodyText"/>
        <w:spacing w:line="264" w:lineRule="auto"/>
        <w:ind w:left="1077" w:right="1336"/>
        <w:jc w:val="both"/>
      </w:pPr>
      <w:r>
        <w:rPr/>
        <w:t>Department of Agriculture (Agriculture). The changes are necessary to manage the risk of pest and disease incursions posed by goods and vessels entering Australia. They will address increased passenger and mail volumes, rising costs and an expected doubling of cargo volumes by 2030.</w:t>
      </w:r>
    </w:p>
    <w:p>
      <w:pPr>
        <w:pStyle w:val="BodyText"/>
        <w:spacing w:before="11"/>
        <w:rPr>
          <w:sz w:val="21"/>
        </w:rPr>
      </w:pPr>
    </w:p>
    <w:p>
      <w:pPr>
        <w:pStyle w:val="BodyText"/>
        <w:spacing w:line="266" w:lineRule="auto"/>
        <w:ind w:left="1077" w:right="1930"/>
      </w:pPr>
      <w:r>
        <w:rPr/>
        <w:t>The Australian Border Force collects the biosecurity cost recovery charge through the Integrated Cargo System (ICS), on behalf of Agriculture. The new charge rates, reflected in the table below, will automatically apply to imports from 1 January 2020.</w:t>
      </w:r>
    </w:p>
    <w:p>
      <w:pPr>
        <w:pStyle w:val="BodyText"/>
        <w:spacing w:before="3"/>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0"/>
        <w:gridCol w:w="1699"/>
        <w:gridCol w:w="1987"/>
        <w:gridCol w:w="3259"/>
      </w:tblGrid>
      <w:tr>
        <w:trPr>
          <w:trHeight w:val="580" w:hRule="atLeast"/>
        </w:trPr>
        <w:tc>
          <w:tcPr>
            <w:tcW w:w="2460" w:type="dxa"/>
          </w:tcPr>
          <w:p>
            <w:pPr>
              <w:pStyle w:val="TableParagraph"/>
              <w:spacing w:before="57"/>
              <w:rPr>
                <w:b/>
                <w:sz w:val="20"/>
              </w:rPr>
            </w:pPr>
            <w:r>
              <w:rPr>
                <w:b/>
                <w:sz w:val="20"/>
              </w:rPr>
              <w:t>Charge</w:t>
            </w:r>
          </w:p>
        </w:tc>
        <w:tc>
          <w:tcPr>
            <w:tcW w:w="1699" w:type="dxa"/>
          </w:tcPr>
          <w:p>
            <w:pPr>
              <w:pStyle w:val="TableParagraph"/>
              <w:spacing w:before="57"/>
              <w:rPr>
                <w:b/>
                <w:sz w:val="20"/>
              </w:rPr>
            </w:pPr>
            <w:r>
              <w:rPr>
                <w:b/>
                <w:sz w:val="20"/>
              </w:rPr>
              <w:t>Current charge</w:t>
            </w:r>
          </w:p>
        </w:tc>
        <w:tc>
          <w:tcPr>
            <w:tcW w:w="1987" w:type="dxa"/>
          </w:tcPr>
          <w:p>
            <w:pPr>
              <w:pStyle w:val="TableParagraph"/>
              <w:spacing w:before="57"/>
              <w:ind w:left="108" w:right="155"/>
              <w:rPr>
                <w:b/>
                <w:sz w:val="20"/>
              </w:rPr>
            </w:pPr>
            <w:r>
              <w:rPr>
                <w:b/>
                <w:sz w:val="20"/>
              </w:rPr>
              <w:t>New charge from 1 January 2020</w:t>
            </w:r>
          </w:p>
        </w:tc>
        <w:tc>
          <w:tcPr>
            <w:tcW w:w="3259" w:type="dxa"/>
          </w:tcPr>
          <w:p>
            <w:pPr>
              <w:pStyle w:val="TableParagraph"/>
              <w:spacing w:before="57"/>
              <w:ind w:left="105"/>
              <w:rPr>
                <w:b/>
                <w:sz w:val="20"/>
              </w:rPr>
            </w:pPr>
            <w:r>
              <w:rPr>
                <w:b/>
                <w:sz w:val="20"/>
              </w:rPr>
              <w:t>Who is affected?</w:t>
            </w:r>
          </w:p>
        </w:tc>
      </w:tr>
      <w:tr>
        <w:trPr>
          <w:trHeight w:val="539" w:hRule="atLeast"/>
        </w:trPr>
        <w:tc>
          <w:tcPr>
            <w:tcW w:w="2460" w:type="dxa"/>
          </w:tcPr>
          <w:p>
            <w:pPr>
              <w:pStyle w:val="TableParagraph"/>
              <w:ind w:right="311"/>
              <w:rPr>
                <w:sz w:val="20"/>
              </w:rPr>
            </w:pPr>
            <w:r>
              <w:rPr>
                <w:sz w:val="20"/>
              </w:rPr>
              <w:t>Full Import Declaration charge - air</w:t>
            </w:r>
          </w:p>
        </w:tc>
        <w:tc>
          <w:tcPr>
            <w:tcW w:w="1699" w:type="dxa"/>
          </w:tcPr>
          <w:p>
            <w:pPr>
              <w:pStyle w:val="TableParagraph"/>
              <w:rPr>
                <w:sz w:val="20"/>
              </w:rPr>
            </w:pPr>
            <w:r>
              <w:rPr>
                <w:sz w:val="20"/>
              </w:rPr>
              <w:t>AUD33</w:t>
            </w:r>
          </w:p>
        </w:tc>
        <w:tc>
          <w:tcPr>
            <w:tcW w:w="1987" w:type="dxa"/>
          </w:tcPr>
          <w:p>
            <w:pPr>
              <w:pStyle w:val="TableParagraph"/>
              <w:ind w:left="108"/>
              <w:rPr>
                <w:sz w:val="20"/>
              </w:rPr>
            </w:pPr>
            <w:r>
              <w:rPr>
                <w:sz w:val="20"/>
              </w:rPr>
              <w:t>AUD38</w:t>
            </w:r>
          </w:p>
        </w:tc>
        <w:tc>
          <w:tcPr>
            <w:tcW w:w="3259" w:type="dxa"/>
          </w:tcPr>
          <w:p>
            <w:pPr>
              <w:pStyle w:val="TableParagraph"/>
              <w:ind w:left="105" w:right="111"/>
              <w:rPr>
                <w:sz w:val="20"/>
              </w:rPr>
            </w:pPr>
            <w:r>
              <w:rPr>
                <w:sz w:val="20"/>
              </w:rPr>
              <w:t>Customs brokers and importers of consignments over AUD1000</w:t>
            </w:r>
          </w:p>
        </w:tc>
      </w:tr>
      <w:tr>
        <w:trPr>
          <w:trHeight w:val="542" w:hRule="atLeast"/>
        </w:trPr>
        <w:tc>
          <w:tcPr>
            <w:tcW w:w="2460" w:type="dxa"/>
          </w:tcPr>
          <w:p>
            <w:pPr>
              <w:pStyle w:val="TableParagraph"/>
              <w:ind w:right="311"/>
              <w:rPr>
                <w:sz w:val="20"/>
              </w:rPr>
            </w:pPr>
            <w:r>
              <w:rPr>
                <w:sz w:val="20"/>
              </w:rPr>
              <w:t>Full Import Declaration charge – sea</w:t>
            </w:r>
          </w:p>
        </w:tc>
        <w:tc>
          <w:tcPr>
            <w:tcW w:w="1699" w:type="dxa"/>
          </w:tcPr>
          <w:p>
            <w:pPr>
              <w:pStyle w:val="TableParagraph"/>
              <w:rPr>
                <w:sz w:val="20"/>
              </w:rPr>
            </w:pPr>
            <w:r>
              <w:rPr>
                <w:sz w:val="20"/>
              </w:rPr>
              <w:t>AUD42</w:t>
            </w:r>
          </w:p>
        </w:tc>
        <w:tc>
          <w:tcPr>
            <w:tcW w:w="1987" w:type="dxa"/>
          </w:tcPr>
          <w:p>
            <w:pPr>
              <w:pStyle w:val="TableParagraph"/>
              <w:ind w:left="108"/>
              <w:rPr>
                <w:sz w:val="20"/>
              </w:rPr>
            </w:pPr>
            <w:r>
              <w:rPr>
                <w:sz w:val="20"/>
              </w:rPr>
              <w:t>AUD49</w:t>
            </w:r>
          </w:p>
        </w:tc>
        <w:tc>
          <w:tcPr>
            <w:tcW w:w="3259" w:type="dxa"/>
          </w:tcPr>
          <w:p>
            <w:pPr>
              <w:pStyle w:val="TableParagraph"/>
              <w:ind w:left="105" w:right="111"/>
              <w:rPr>
                <w:sz w:val="20"/>
              </w:rPr>
            </w:pPr>
            <w:r>
              <w:rPr>
                <w:sz w:val="20"/>
              </w:rPr>
              <w:t>Customs brokers and importers of consignments over AUD1000</w:t>
            </w:r>
          </w:p>
        </w:tc>
      </w:tr>
    </w:tbl>
    <w:p>
      <w:pPr>
        <w:pStyle w:val="BodyText"/>
        <w:spacing w:before="3"/>
        <w:rPr>
          <w:sz w:val="23"/>
        </w:rPr>
      </w:pPr>
    </w:p>
    <w:p>
      <w:pPr>
        <w:spacing w:before="1"/>
        <w:ind w:left="1080" w:right="0" w:firstLine="0"/>
        <w:jc w:val="left"/>
        <w:rPr>
          <w:b/>
          <w:sz w:val="20"/>
        </w:rPr>
      </w:pPr>
      <w:r>
        <w:rPr>
          <w:b/>
          <w:color w:val="946C22"/>
          <w:sz w:val="20"/>
        </w:rPr>
        <w:t>Further information</w:t>
      </w:r>
    </w:p>
    <w:p>
      <w:pPr>
        <w:pStyle w:val="BodyText"/>
        <w:spacing w:line="266" w:lineRule="auto" w:before="24"/>
        <w:ind w:left="1077" w:right="1812"/>
      </w:pPr>
      <w:r>
        <w:rPr/>
        <w:t>In addition to the biosecurity cost recovery charge collected through the ICS as above, Agriculture has also announced changes to the arrival charge for vessels. Further information on the changes to arrival charges for vessels can be found on the Agriculture website at </w:t>
      </w:r>
      <w:hyperlink r:id="rId6">
        <w:r>
          <w:rPr>
            <w:color w:val="0562C1"/>
            <w:u w:val="single" w:color="0562C1"/>
          </w:rPr>
          <w:t>www.agriculture.gov.au/fees/cost-recovery/biosecurity-cris</w:t>
        </w:r>
        <w:r>
          <w:rPr/>
          <w:t>.</w:t>
        </w:r>
      </w:hyperlink>
    </w:p>
    <w:p>
      <w:pPr>
        <w:pStyle w:val="BodyText"/>
        <w:spacing w:before="4"/>
        <w:rPr>
          <w:sz w:val="13"/>
        </w:rPr>
      </w:pPr>
    </w:p>
    <w:p>
      <w:pPr>
        <w:pStyle w:val="BodyText"/>
        <w:spacing w:line="266" w:lineRule="auto" w:before="92"/>
        <w:ind w:left="1077" w:right="1763"/>
      </w:pPr>
      <w:r>
        <w:rPr/>
        <w:t>Further information on the changes to biosecurity cost recovery, including an updated Biosecurity Cost Recovery Implementation Statement (CRIS), is available</w:t>
      </w:r>
      <w:r>
        <w:rPr>
          <w:spacing w:val="-3"/>
        </w:rPr>
        <w:t> </w:t>
      </w:r>
      <w:r>
        <w:rPr/>
        <w:t>at</w:t>
      </w:r>
    </w:p>
    <w:p>
      <w:pPr>
        <w:pStyle w:val="BodyText"/>
        <w:spacing w:line="266" w:lineRule="auto"/>
        <w:ind w:left="1077" w:right="1464"/>
      </w:pPr>
      <w:hyperlink r:id="rId6">
        <w:r>
          <w:rPr>
            <w:color w:val="0562C1"/>
            <w:u w:val="single" w:color="0562C1"/>
          </w:rPr>
          <w:t>www.agriculture.gov.au/fees/cost-recovery/biosecurity-cris</w:t>
        </w:r>
        <w:r>
          <w:rPr>
            <w:color w:val="0562C1"/>
          </w:rPr>
          <w:t> </w:t>
        </w:r>
      </w:hyperlink>
      <w:r>
        <w:rPr/>
        <w:t>or by emailing the Department of Agriculture at </w:t>
      </w:r>
      <w:hyperlink r:id="rId7">
        <w:r>
          <w:rPr>
            <w:color w:val="0562C1"/>
            <w:u w:val="single" w:color="0562C1"/>
          </w:rPr>
          <w:t>costrecovery@agriculture.gov.au</w:t>
        </w:r>
        <w:r>
          <w:rPr/>
          <w:t>.</w:t>
        </w:r>
      </w:hyperlink>
    </w:p>
    <w:p>
      <w:pPr>
        <w:pStyle w:val="BodyText"/>
      </w:pPr>
    </w:p>
    <w:p>
      <w:pPr>
        <w:pStyle w:val="BodyText"/>
        <w:spacing w:before="8"/>
        <w:rPr>
          <w:sz w:val="24"/>
        </w:rPr>
      </w:pPr>
    </w:p>
    <w:p>
      <w:pPr>
        <w:pStyle w:val="BodyText"/>
        <w:spacing w:before="93"/>
        <w:ind w:left="1080"/>
      </w:pPr>
      <w:r>
        <w:rPr/>
        <w:t>[Signed]</w:t>
      </w:r>
    </w:p>
    <w:p>
      <w:pPr>
        <w:pStyle w:val="BodyText"/>
        <w:spacing w:before="5"/>
        <w:ind w:left="1080" w:right="8282"/>
      </w:pPr>
      <w:r>
        <w:rPr/>
        <w:t>Matthew Duckworth Assistant Secretary</w:t>
      </w:r>
    </w:p>
    <w:p>
      <w:pPr>
        <w:pStyle w:val="BodyText"/>
        <w:spacing w:before="1"/>
        <w:ind w:left="1080" w:right="7430"/>
      </w:pPr>
      <w:r>
        <w:rPr/>
        <w:t>Customs and Border Revenue Branch Customs Group</w:t>
      </w:r>
    </w:p>
    <w:p>
      <w:pPr>
        <w:pStyle w:val="BodyText"/>
        <w:spacing w:before="77"/>
        <w:ind w:left="1080"/>
      </w:pPr>
      <w:r>
        <w:rPr/>
        <w:t>12 December 2019</w:t>
      </w:r>
    </w:p>
    <w:p>
      <w:pPr>
        <w:pStyle w:val="BodyText"/>
      </w:pPr>
    </w:p>
    <w:p>
      <w:pPr>
        <w:tabs>
          <w:tab w:pos="4360" w:val="left" w:leader="none"/>
          <w:tab w:pos="11903" w:val="left" w:leader="none"/>
        </w:tabs>
        <w:spacing w:line="273" w:lineRule="exact" w:before="225"/>
        <w:ind w:left="0" w:right="0" w:firstLine="0"/>
        <w:jc w:val="left"/>
        <w:rPr>
          <w:rFonts w:ascii="Arial-BoldItalicMT" w:hAnsi="Arial-BoldItalicMT"/>
          <w:b/>
          <w:i/>
          <w:sz w:val="24"/>
        </w:rPr>
      </w:pPr>
      <w:r>
        <w:rPr>
          <w:rFonts w:ascii="Arial-BoldItalicMT" w:hAnsi="Arial-BoldItalicMT"/>
          <w:b/>
          <w:i/>
          <w:color w:val="FFFFFF"/>
          <w:w w:val="100"/>
          <w:sz w:val="24"/>
          <w:shd w:fill="072143" w:color="auto" w:val="clear"/>
        </w:rPr>
        <w:t> </w:t>
      </w:r>
      <w:r>
        <w:rPr>
          <w:rFonts w:ascii="Arial-BoldItalicMT" w:hAnsi="Arial-BoldItalicMT"/>
          <w:b/>
          <w:i/>
          <w:color w:val="FFFFFF"/>
          <w:sz w:val="24"/>
          <w:shd w:fill="072143" w:color="auto" w:val="clear"/>
        </w:rPr>
        <w:tab/>
        <w:t>Australia’s customs</w:t>
      </w:r>
      <w:r>
        <w:rPr>
          <w:rFonts w:ascii="Arial-BoldItalicMT" w:hAnsi="Arial-BoldItalicMT"/>
          <w:b/>
          <w:i/>
          <w:color w:val="FFFFFF"/>
          <w:spacing w:val="-10"/>
          <w:sz w:val="24"/>
          <w:shd w:fill="072143" w:color="auto" w:val="clear"/>
        </w:rPr>
        <w:t> </w:t>
      </w:r>
      <w:r>
        <w:rPr>
          <w:rFonts w:ascii="Arial-BoldItalicMT" w:hAnsi="Arial-BoldItalicMT"/>
          <w:b/>
          <w:i/>
          <w:color w:val="FFFFFF"/>
          <w:sz w:val="24"/>
          <w:shd w:fill="072143" w:color="auto" w:val="clear"/>
        </w:rPr>
        <w:t>service</w:t>
        <w:tab/>
      </w:r>
    </w:p>
    <w:p>
      <w:pPr>
        <w:spacing w:line="250" w:lineRule="exact" w:before="0"/>
        <w:ind w:left="0" w:right="0" w:firstLine="0"/>
        <w:jc w:val="left"/>
        <w:rPr>
          <w:rFonts w:ascii="Times New Roman"/>
          <w:sz w:val="22"/>
        </w:rPr>
      </w:pPr>
      <w:r>
        <w:rPr>
          <w:rFonts w:ascii="Times New Roman"/>
          <w:w w:val="100"/>
          <w:sz w:val="22"/>
        </w:rPr>
        <w: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5"/>
      <w:ind w:left="2882" w:right="2885"/>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38"/>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griculture.gov.au/fees/costrecovery/biosecuritycris" TargetMode="External"/><Relationship Id="rId7" Type="http://schemas.openxmlformats.org/officeDocument/2006/relationships/hyperlink" Target="mailto:costrecovery@agricultur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Australian Customs Notice;  Biosecurity;  ICS;  integrated cargo system;  cost recovery;  agriculture;  ABF;  full import declaration</cp:keywords>
  <dc:subject>Changes to Biosecurity Cost Recovery</dc:subject>
  <dc:title>ACN 2019 44 - Biosecurity Cost Recovery</dc:title>
  <dcterms:created xsi:type="dcterms:W3CDTF">2020-12-09T23:11:44Z</dcterms:created>
  <dcterms:modified xsi:type="dcterms:W3CDTF">2020-12-09T23:11:44Z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Power PDF Create</vt:lpwstr>
  </property>
  <property fmtid="{D5CDD505-2E9C-101B-9397-08002B2CF9AE}" pid="4" name="LastSaved">
    <vt:filetime>2020-12-09T00:00:00Z</vt:filetime>
  </property>
</Properties>
</file>