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2020/17</w:t>
      </w:r>
    </w:p>
    <w:p>
      <w:pPr>
        <w:spacing w:before="118"/>
        <w:ind w:left="1500" w:right="1528" w:firstLine="0"/>
        <w:jc w:val="center"/>
        <w:rPr>
          <w:sz w:val="40"/>
        </w:rPr>
      </w:pPr>
      <w:r>
        <w:rPr>
          <w:color w:val="956D23"/>
          <w:sz w:val="40"/>
        </w:rPr>
        <w:t>Cheese and Curd Quota Scheme – Allocations for 2020-2021</w:t>
      </w:r>
    </w:p>
    <w:p>
      <w:pPr>
        <w:pStyle w:val="BodyText"/>
        <w:spacing w:before="5"/>
        <w:rPr>
          <w:sz w:val="48"/>
        </w:rPr>
      </w:pPr>
    </w:p>
    <w:p>
      <w:pPr>
        <w:pStyle w:val="BodyText"/>
        <w:spacing w:before="1"/>
        <w:ind w:left="1133" w:right="1341"/>
      </w:pPr>
      <w:r>
        <w:rPr/>
        <w:t>The Australian Border Force will shortly contact Cheese and Curd Quota Scheme holders to discuss quota allocations for 2020-2021.</w:t>
      </w:r>
    </w:p>
    <w:p>
      <w:pPr>
        <w:pStyle w:val="BodyText"/>
        <w:spacing w:before="10"/>
        <w:rPr>
          <w:sz w:val="19"/>
        </w:rPr>
      </w:pPr>
    </w:p>
    <w:p>
      <w:pPr>
        <w:pStyle w:val="BodyText"/>
        <w:ind w:left="1133" w:right="1296"/>
      </w:pPr>
      <w:r>
        <w:rPr/>
        <w:t>The calculation of an importer’s forthcoming allocation is based on the importer’s usage of quota, as shown in the Department’s records of Import Declarations, which were entered for home consumption between</w:t>
      </w:r>
    </w:p>
    <w:p>
      <w:pPr>
        <w:spacing w:line="228" w:lineRule="exact" w:before="0"/>
        <w:ind w:left="1133" w:right="0" w:firstLine="0"/>
        <w:jc w:val="left"/>
        <w:rPr>
          <w:sz w:val="20"/>
        </w:rPr>
      </w:pPr>
      <w:r>
        <w:rPr>
          <w:b/>
          <w:sz w:val="20"/>
          <w:u w:val="thick"/>
        </w:rPr>
        <w:t>01 July 2018 and 31 May 2020</w:t>
      </w:r>
      <w:r>
        <w:rPr>
          <w:sz w:val="20"/>
        </w:rPr>
        <w:t>.</w:t>
      </w:r>
    </w:p>
    <w:p>
      <w:pPr>
        <w:pStyle w:val="BodyText"/>
        <w:spacing w:before="2"/>
        <w:rPr>
          <w:sz w:val="12"/>
        </w:rPr>
      </w:pPr>
    </w:p>
    <w:p>
      <w:pPr>
        <w:pStyle w:val="BodyText"/>
        <w:spacing w:before="93"/>
        <w:ind w:left="1133" w:right="1442"/>
      </w:pPr>
      <w:r>
        <w:rPr/>
        <w:t>We remind importers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the quota cannot be used. Similarly, if preference circumstances or Free Trade Agreements (FTAs), as listed in the various schedules of the </w:t>
      </w:r>
      <w:r>
        <w:rPr>
          <w:i/>
        </w:rPr>
        <w:t>Customs Tariff Act 95 </w:t>
      </w:r>
      <w:r>
        <w:rPr/>
        <w:t>apply, then the quota is not available.</w:t>
      </w:r>
    </w:p>
    <w:p>
      <w:pPr>
        <w:pStyle w:val="BodyText"/>
        <w:spacing w:before="8"/>
        <w:rPr>
          <w:sz w:val="19"/>
        </w:rPr>
      </w:pPr>
    </w:p>
    <w:p>
      <w:pPr>
        <w:pStyle w:val="BodyText"/>
        <w:ind w:left="1133" w:right="1440"/>
      </w:pPr>
      <w:r>
        <w:rPr/>
        <w:t>Pursuant to subsections 71A(7) and (8) of the </w:t>
      </w:r>
      <w:r>
        <w:rPr>
          <w:i/>
        </w:rPr>
        <w:t>Customs Act 1901</w:t>
      </w:r>
      <w:r>
        <w:rPr/>
        <w:t>, the cheese or curd is ‘entered for home consumption’ on the </w:t>
      </w:r>
      <w:r>
        <w:rPr>
          <w:b/>
        </w:rPr>
        <w:t>latter </w:t>
      </w:r>
      <w:r>
        <w:rPr/>
        <w:t>of the following two dates:</w:t>
      </w:r>
    </w:p>
    <w:p>
      <w:pPr>
        <w:pStyle w:val="BodyText"/>
        <w:spacing w:before="4"/>
      </w:pPr>
    </w:p>
    <w:p>
      <w:pPr>
        <w:pStyle w:val="ListParagraph"/>
        <w:numPr>
          <w:ilvl w:val="0"/>
          <w:numId w:val="1"/>
        </w:numPr>
        <w:tabs>
          <w:tab w:pos="1853" w:val="left" w:leader="none"/>
          <w:tab w:pos="1854" w:val="left" w:leader="none"/>
        </w:tabs>
        <w:spacing w:line="240" w:lineRule="auto" w:before="0" w:after="0"/>
        <w:ind w:left="1853" w:right="0" w:hanging="721"/>
        <w:jc w:val="left"/>
        <w:rPr>
          <w:sz w:val="20"/>
        </w:rPr>
      </w:pPr>
      <w:r>
        <w:rPr>
          <w:sz w:val="20"/>
        </w:rPr>
        <w:t>the date of original lodgment;</w:t>
      </w:r>
      <w:r>
        <w:rPr>
          <w:spacing w:val="-3"/>
          <w:sz w:val="20"/>
        </w:rPr>
        <w:t> </w:t>
      </w:r>
      <w:r>
        <w:rPr>
          <w:sz w:val="20"/>
        </w:rPr>
        <w:t>Or</w:t>
      </w:r>
    </w:p>
    <w:p>
      <w:pPr>
        <w:pStyle w:val="ListParagraph"/>
        <w:numPr>
          <w:ilvl w:val="0"/>
          <w:numId w:val="1"/>
        </w:numPr>
        <w:tabs>
          <w:tab w:pos="1853" w:val="left" w:leader="none"/>
          <w:tab w:pos="1854" w:val="left" w:leader="none"/>
        </w:tabs>
        <w:spacing w:line="240" w:lineRule="auto" w:before="0" w:after="0"/>
        <w:ind w:left="1853" w:right="1234" w:hanging="720"/>
        <w:jc w:val="left"/>
        <w:rPr>
          <w:sz w:val="20"/>
        </w:rPr>
      </w:pPr>
      <w:r>
        <w:rPr>
          <w:sz w:val="20"/>
        </w:rPr>
        <w:t>the date of the arrival of the vessel or aircraft at the first Australian port or airport at which any cargo is intended to be</w:t>
      </w:r>
      <w:r>
        <w:rPr>
          <w:spacing w:val="-4"/>
          <w:sz w:val="20"/>
        </w:rPr>
        <w:t> </w:t>
      </w:r>
      <w:r>
        <w:rPr>
          <w:sz w:val="20"/>
        </w:rPr>
        <w:t>discharged.</w:t>
      </w:r>
    </w:p>
    <w:p>
      <w:pPr>
        <w:pStyle w:val="BodyText"/>
        <w:spacing w:before="10"/>
        <w:rPr>
          <w:sz w:val="19"/>
        </w:rPr>
      </w:pPr>
    </w:p>
    <w:p>
      <w:pPr>
        <w:pStyle w:val="BodyText"/>
        <w:spacing w:before="1"/>
        <w:ind w:left="1133"/>
      </w:pPr>
      <w:r>
        <w:rPr/>
        <w:t>Please note that:</w:t>
      </w:r>
    </w:p>
    <w:p>
      <w:pPr>
        <w:pStyle w:val="ListParagraph"/>
        <w:numPr>
          <w:ilvl w:val="0"/>
          <w:numId w:val="2"/>
        </w:numPr>
        <w:tabs>
          <w:tab w:pos="1853" w:val="left" w:leader="none"/>
          <w:tab w:pos="1854" w:val="left" w:leader="none"/>
        </w:tabs>
        <w:spacing w:line="240" w:lineRule="auto" w:before="12" w:after="0"/>
        <w:ind w:left="1853" w:right="1357" w:hanging="720"/>
        <w:jc w:val="left"/>
        <w:rPr>
          <w:b/>
          <w:sz w:val="20"/>
        </w:rPr>
      </w:pPr>
      <w:r>
        <w:rPr>
          <w:sz w:val="20"/>
        </w:rPr>
        <w:t>The quota calculation excludes any part of the quota transferred to another importer during the</w:t>
      </w:r>
      <w:r>
        <w:rPr>
          <w:spacing w:val="-28"/>
          <w:sz w:val="20"/>
        </w:rPr>
        <w:t> </w:t>
      </w:r>
      <w:r>
        <w:rPr>
          <w:spacing w:val="3"/>
          <w:sz w:val="20"/>
        </w:rPr>
        <w:t>23- </w:t>
      </w:r>
      <w:r>
        <w:rPr>
          <w:sz w:val="20"/>
        </w:rPr>
        <w:t>month period or that remains unused at </w:t>
      </w:r>
      <w:r>
        <w:rPr>
          <w:b/>
          <w:sz w:val="20"/>
          <w:u w:val="thick"/>
        </w:rPr>
        <w:t>31 May</w:t>
      </w:r>
      <w:r>
        <w:rPr>
          <w:b/>
          <w:spacing w:val="-3"/>
          <w:sz w:val="20"/>
          <w:u w:val="thick"/>
        </w:rPr>
        <w:t> </w:t>
      </w:r>
      <w:r>
        <w:rPr>
          <w:b/>
          <w:sz w:val="20"/>
          <w:u w:val="thick"/>
        </w:rPr>
        <w:t>2020</w:t>
      </w:r>
    </w:p>
    <w:p>
      <w:pPr>
        <w:pStyle w:val="ListParagraph"/>
        <w:numPr>
          <w:ilvl w:val="0"/>
          <w:numId w:val="2"/>
        </w:numPr>
        <w:tabs>
          <w:tab w:pos="1853" w:val="left" w:leader="none"/>
          <w:tab w:pos="1854" w:val="left" w:leader="none"/>
        </w:tabs>
        <w:spacing w:line="240" w:lineRule="auto" w:before="13" w:after="0"/>
        <w:ind w:left="1853" w:right="0" w:hanging="721"/>
        <w:jc w:val="left"/>
        <w:rPr>
          <w:sz w:val="20"/>
        </w:rPr>
      </w:pPr>
      <w:r>
        <w:rPr>
          <w:sz w:val="20"/>
        </w:rPr>
        <w:t>For the 2021-22 allocation period, the allocation will be calculated by the sum</w:t>
      </w:r>
      <w:r>
        <w:rPr>
          <w:spacing w:val="-10"/>
          <w:sz w:val="20"/>
        </w:rPr>
        <w:t> </w:t>
      </w:r>
      <w:r>
        <w:rPr>
          <w:sz w:val="20"/>
        </w:rPr>
        <w:t>of:</w:t>
      </w:r>
    </w:p>
    <w:p>
      <w:pPr>
        <w:pStyle w:val="ListParagraph"/>
        <w:numPr>
          <w:ilvl w:val="1"/>
          <w:numId w:val="1"/>
        </w:numPr>
        <w:tabs>
          <w:tab w:pos="1854" w:val="left" w:leader="none"/>
        </w:tabs>
        <w:spacing w:line="240" w:lineRule="auto" w:before="0" w:after="0"/>
        <w:ind w:left="1853" w:right="0" w:hanging="361"/>
        <w:jc w:val="left"/>
        <w:rPr>
          <w:b/>
          <w:sz w:val="20"/>
        </w:rPr>
      </w:pPr>
      <w:r>
        <w:rPr>
          <w:sz w:val="20"/>
        </w:rPr>
        <w:t>all quota entered for home consumption in 2019-20,</w:t>
      </w:r>
      <w:r>
        <w:rPr>
          <w:spacing w:val="-5"/>
          <w:sz w:val="20"/>
        </w:rPr>
        <w:t> </w:t>
      </w:r>
      <w:r>
        <w:rPr>
          <w:b/>
          <w:sz w:val="20"/>
        </w:rPr>
        <w:t>and</w:t>
      </w:r>
    </w:p>
    <w:p>
      <w:pPr>
        <w:pStyle w:val="ListParagraph"/>
        <w:numPr>
          <w:ilvl w:val="1"/>
          <w:numId w:val="1"/>
        </w:numPr>
        <w:tabs>
          <w:tab w:pos="1854" w:val="left" w:leader="none"/>
        </w:tabs>
        <w:spacing w:line="240" w:lineRule="auto" w:before="1" w:after="0"/>
        <w:ind w:left="1853" w:right="0" w:hanging="361"/>
        <w:jc w:val="left"/>
        <w:rPr>
          <w:sz w:val="20"/>
        </w:rPr>
      </w:pPr>
      <w:r>
        <w:rPr>
          <w:sz w:val="20"/>
        </w:rPr>
        <w:t>all quota entered for home consumption between 01 July 2020 and 31 May</w:t>
      </w:r>
      <w:r>
        <w:rPr>
          <w:spacing w:val="-11"/>
          <w:sz w:val="20"/>
        </w:rPr>
        <w:t> </w:t>
      </w:r>
      <w:r>
        <w:rPr>
          <w:sz w:val="20"/>
        </w:rPr>
        <w:t>2021</w:t>
      </w:r>
    </w:p>
    <w:p>
      <w:pPr>
        <w:pStyle w:val="BodyText"/>
        <w:spacing w:before="10"/>
        <w:rPr>
          <w:sz w:val="19"/>
        </w:rPr>
      </w:pPr>
    </w:p>
    <w:p>
      <w:pPr>
        <w:pStyle w:val="BodyText"/>
        <w:spacing w:line="266" w:lineRule="auto"/>
        <w:ind w:left="1416" w:right="1405"/>
      </w:pPr>
      <w:r>
        <w:rPr/>
        <w:t>Note. Goods entered for home consumption between 01 June and 30 June 2021 will be included in the 2022-2023 allocation</w:t>
      </w:r>
    </w:p>
    <w:p>
      <w:pPr>
        <w:pStyle w:val="ListParagraph"/>
        <w:numPr>
          <w:ilvl w:val="0"/>
          <w:numId w:val="2"/>
        </w:numPr>
        <w:tabs>
          <w:tab w:pos="1853" w:val="left" w:leader="none"/>
          <w:tab w:pos="1854" w:val="left" w:leader="none"/>
        </w:tabs>
        <w:spacing w:line="240" w:lineRule="auto" w:before="130" w:after="0"/>
        <w:ind w:left="1853" w:right="1138" w:hanging="720"/>
        <w:jc w:val="left"/>
        <w:rPr>
          <w:sz w:val="20"/>
        </w:rPr>
      </w:pPr>
      <w:r>
        <w:rPr>
          <w:sz w:val="20"/>
        </w:rPr>
        <w:t>Quota allocated in a particular financial year cannot be used to amend declarations entered for home consumption during a previous financial year</w:t>
      </w:r>
    </w:p>
    <w:p>
      <w:pPr>
        <w:pStyle w:val="BodyText"/>
        <w:spacing w:before="2"/>
      </w:pPr>
    </w:p>
    <w:p>
      <w:pPr>
        <w:pStyle w:val="BodyText"/>
        <w:ind w:left="1133" w:right="1396"/>
      </w:pPr>
      <w:r>
        <w:rPr/>
        <w:t>At this time of the year, quota holders should take stock of quota balances with a view to optimising usage and consequently maximising their next allocation.</w:t>
      </w:r>
    </w:p>
    <w:p>
      <w:pPr>
        <w:pStyle w:val="BodyText"/>
      </w:pPr>
    </w:p>
    <w:p>
      <w:pPr>
        <w:pStyle w:val="BodyText"/>
      </w:pPr>
    </w:p>
    <w:p>
      <w:pPr>
        <w:pStyle w:val="BodyText"/>
      </w:pPr>
    </w:p>
    <w:p>
      <w:pPr>
        <w:pStyle w:val="BodyText"/>
      </w:pPr>
    </w:p>
    <w:p>
      <w:pPr>
        <w:pStyle w:val="BodyText"/>
        <w:spacing w:before="4"/>
        <w:rPr>
          <w:sz w:val="18"/>
        </w:rPr>
      </w:pPr>
    </w:p>
    <w:p>
      <w:pPr>
        <w:tabs>
          <w:tab w:pos="4364" w:val="left" w:leader="none"/>
          <w:tab w:pos="11908" w:val="left" w:leader="none"/>
        </w:tabs>
        <w:spacing w:before="92"/>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1"/>
        <w:rPr>
          <w:rFonts w:ascii="Arial-BoldItalicMT"/>
          <w:b/>
          <w:i/>
          <w:sz w:val="17"/>
        </w:rPr>
      </w:pPr>
    </w:p>
    <w:p>
      <w:pPr>
        <w:spacing w:before="93"/>
        <w:ind w:left="1133" w:right="1952" w:firstLine="0"/>
        <w:jc w:val="left"/>
        <w:rPr>
          <w:sz w:val="20"/>
        </w:rPr>
      </w:pPr>
      <w:r>
        <w:rPr/>
        <w:pict>
          <v:rect style="position:absolute;margin-left:0pt;margin-top:-45.250103pt;width:595.320pt;height:25pt;mso-position-horizontal-relative:page;mso-position-vertical-relative:paragraph;z-index:15729152" filled="true" fillcolor="#082144" stroked="false">
            <v:fill type="solid"/>
            <w10:wrap type="none"/>
          </v:rect>
        </w:pict>
      </w:r>
      <w:r>
        <w:rPr>
          <w:sz w:val="20"/>
        </w:rPr>
        <w:t>The Australian Border Force will publish the final allocation in the </w:t>
      </w:r>
      <w:r>
        <w:rPr>
          <w:i/>
          <w:sz w:val="20"/>
        </w:rPr>
        <w:t>Commonwealth of Australia: Tariff Concessions Gazette </w:t>
      </w:r>
      <w:r>
        <w:rPr>
          <w:sz w:val="20"/>
        </w:rPr>
        <w:t>in July 2020.</w:t>
      </w:r>
    </w:p>
    <w:p>
      <w:pPr>
        <w:pStyle w:val="BodyText"/>
        <w:spacing w:before="1"/>
      </w:pPr>
    </w:p>
    <w:p>
      <w:pPr>
        <w:pStyle w:val="BodyText"/>
        <w:ind w:left="1133" w:right="1341"/>
      </w:pPr>
      <w:r>
        <w:rPr/>
        <w:t>Where you anticipate quota usage shortfalls, there is an option to transfer allocations between importers. You can apply for a transfer by completing a Transfer of Base Quota (Cheese and Curd) form (form B235) and submitting it to:</w:t>
      </w:r>
    </w:p>
    <w:p>
      <w:pPr>
        <w:pStyle w:val="BodyText"/>
        <w:spacing w:before="11"/>
        <w:rPr>
          <w:sz w:val="19"/>
        </w:rPr>
      </w:pPr>
    </w:p>
    <w:p>
      <w:pPr>
        <w:pStyle w:val="BodyText"/>
        <w:ind w:left="1853" w:right="5165"/>
      </w:pPr>
      <w:r>
        <w:rPr/>
        <w:t>Director – Tariff Concessions Administration Section Trusted Trader and Trade Compliance</w:t>
      </w:r>
    </w:p>
    <w:p>
      <w:pPr>
        <w:pStyle w:val="BodyText"/>
        <w:spacing w:before="1"/>
        <w:ind w:left="1853" w:right="7924"/>
      </w:pPr>
      <w:r>
        <w:rPr/>
        <w:t>Customs Group Australian Border Force PO Box 25</w:t>
      </w:r>
    </w:p>
    <w:p>
      <w:pPr>
        <w:pStyle w:val="BodyText"/>
        <w:spacing w:before="1"/>
        <w:ind w:left="1853"/>
      </w:pPr>
      <w:r>
        <w:rPr/>
        <w:t>BELCONNEN ACT 2617</w:t>
      </w:r>
    </w:p>
    <w:p>
      <w:pPr>
        <w:pStyle w:val="BodyText"/>
        <w:spacing w:before="10"/>
        <w:rPr>
          <w:sz w:val="19"/>
        </w:rPr>
      </w:pPr>
    </w:p>
    <w:p>
      <w:pPr>
        <w:pStyle w:val="BodyText"/>
        <w:ind w:left="1133" w:right="2742"/>
      </w:pPr>
      <w:r>
        <w:rPr/>
        <w:t>Alternatively, this form may be submitted by email to Trusted Trader and Trade Services at </w:t>
      </w:r>
      <w:hyperlink r:id="rId6">
        <w:r>
          <w:rPr>
            <w:color w:val="082144"/>
            <w:u w:val="single" w:color="082144"/>
          </w:rPr>
          <w:t>tarcon@abf.gov.au</w:t>
        </w:r>
        <w:r>
          <w:rPr/>
          <w:t>.</w:t>
        </w:r>
      </w:hyperlink>
    </w:p>
    <w:p>
      <w:pPr>
        <w:pStyle w:val="BodyText"/>
        <w:spacing w:before="1"/>
        <w:rPr>
          <w:sz w:val="12"/>
        </w:rPr>
      </w:pPr>
    </w:p>
    <w:p>
      <w:pPr>
        <w:pStyle w:val="BodyText"/>
        <w:spacing w:before="93"/>
        <w:ind w:left="1133" w:right="592"/>
      </w:pPr>
      <w:r>
        <w:rPr/>
        <w:t>Transfer requests are processed in order of their receipt. Each request may take up to four working days to process. The transfer form is available on the Department’s website at </w:t>
      </w:r>
      <w:hyperlink r:id="rId7">
        <w:r>
          <w:rPr>
            <w:color w:val="082144"/>
            <w:u w:val="single" w:color="082144"/>
          </w:rPr>
          <w:t>https://www.abf.gov.au/form-</w:t>
        </w:r>
      </w:hyperlink>
      <w:r>
        <w:rPr>
          <w:color w:val="082144"/>
        </w:rPr>
        <w:t> </w:t>
      </w:r>
      <w:hyperlink r:id="rId7">
        <w:r>
          <w:rPr>
            <w:color w:val="082144"/>
            <w:u w:val="single" w:color="082144"/>
          </w:rPr>
          <w:t>listing/forms/b235.pdf.</w:t>
        </w:r>
      </w:hyperlink>
    </w:p>
    <w:p>
      <w:pPr>
        <w:pStyle w:val="BodyText"/>
        <w:spacing w:before="10"/>
        <w:rPr>
          <w:sz w:val="11"/>
        </w:rPr>
      </w:pPr>
    </w:p>
    <w:p>
      <w:pPr>
        <w:pStyle w:val="BodyText"/>
        <w:spacing w:before="93"/>
        <w:ind w:left="1133" w:right="1296"/>
      </w:pPr>
      <w:r>
        <w:rPr/>
        <w:t>To facilitate efficient administration of the annual allocation, we urge importers and brokers to notify the Australian Border Force of any changes to company details such as addresses, phone, email and principal contact person.</w:t>
      </w:r>
    </w:p>
    <w:p>
      <w:pPr>
        <w:pStyle w:val="BodyText"/>
        <w:spacing w:before="10"/>
        <w:rPr>
          <w:sz w:val="19"/>
        </w:rPr>
      </w:pPr>
    </w:p>
    <w:p>
      <w:pPr>
        <w:pStyle w:val="BodyText"/>
        <w:ind w:left="1133" w:right="1485"/>
      </w:pPr>
      <w:r>
        <w:rPr/>
        <w:t>You may direct any enquiries concerning this notice to Trusted Trader and Trade Compliance by email to </w:t>
      </w:r>
      <w:hyperlink r:id="rId6">
        <w:r>
          <w:rPr>
            <w:color w:val="082144"/>
            <w:u w:val="single" w:color="082144"/>
          </w:rPr>
          <w:t>tarcon@abf.gov.au</w:t>
        </w:r>
        <w:r>
          <w:rPr/>
          <w:t>.</w:t>
        </w:r>
      </w:hyperlink>
    </w:p>
    <w:p>
      <w:pPr>
        <w:pStyle w:val="BodyText"/>
      </w:pPr>
    </w:p>
    <w:p>
      <w:pPr>
        <w:pStyle w:val="BodyText"/>
      </w:pPr>
    </w:p>
    <w:p>
      <w:pPr>
        <w:pStyle w:val="BodyText"/>
      </w:pPr>
    </w:p>
    <w:p>
      <w:pPr>
        <w:pStyle w:val="BodyText"/>
        <w:spacing w:before="7"/>
        <w:rPr>
          <w:sz w:val="17"/>
        </w:rPr>
      </w:pPr>
    </w:p>
    <w:p>
      <w:pPr>
        <w:pStyle w:val="BodyText"/>
        <w:spacing w:before="93"/>
        <w:ind w:left="1133"/>
      </w:pPr>
      <w:r>
        <w:rPr/>
        <w:t>[signed]</w:t>
      </w:r>
    </w:p>
    <w:p>
      <w:pPr>
        <w:pStyle w:val="BodyText"/>
        <w:spacing w:before="22"/>
        <w:ind w:left="1133"/>
      </w:pPr>
      <w:r>
        <w:rPr/>
        <w:t>Ben Nicholls</w:t>
      </w:r>
    </w:p>
    <w:p>
      <w:pPr>
        <w:pStyle w:val="BodyText"/>
        <w:spacing w:line="264" w:lineRule="auto" w:before="25"/>
        <w:ind w:left="1133" w:right="5165"/>
      </w:pPr>
      <w:r>
        <w:rPr/>
        <w:t>A/g Assistant Secretary, Trusted Trader and Trade Compliance Canberra ACT</w:t>
      </w:r>
    </w:p>
    <w:p>
      <w:pPr>
        <w:pStyle w:val="BodyText"/>
        <w:ind w:left="1133"/>
      </w:pPr>
      <w:r>
        <w:rPr/>
        <w:t>17 March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spacing w:before="95"/>
        <w:ind w:left="6339" w:right="0" w:firstLine="0"/>
        <w:jc w:val="left"/>
        <w:rPr>
          <w:sz w:val="14"/>
        </w:rPr>
      </w:pPr>
      <w:r>
        <w:rPr>
          <w:color w:val="5C676C"/>
          <w:sz w:val="14"/>
        </w:rPr>
        <w:t>Home Affairs Notice - Cheese and Curd Quota Allocation 2020-2021 |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53" w:hanging="720"/>
      </w:pPr>
      <w:rPr>
        <w:rFonts w:hint="default" w:ascii="Arial" w:hAnsi="Arial" w:eastAsia="Arial" w:cs="Arial"/>
        <w:w w:val="130"/>
        <w:sz w:val="20"/>
        <w:szCs w:val="20"/>
        <w:lang w:val="en-au" w:eastAsia="en-US" w:bidi="ar-SA"/>
      </w:rPr>
    </w:lvl>
    <w:lvl w:ilvl="1">
      <w:start w:val="0"/>
      <w:numFmt w:val="bullet"/>
      <w:lvlText w:val="•"/>
      <w:lvlJc w:val="left"/>
      <w:pPr>
        <w:ind w:left="2864" w:hanging="720"/>
      </w:pPr>
      <w:rPr>
        <w:rFonts w:hint="default"/>
        <w:lang w:val="en-au" w:eastAsia="en-US" w:bidi="ar-SA"/>
      </w:rPr>
    </w:lvl>
    <w:lvl w:ilvl="2">
      <w:start w:val="0"/>
      <w:numFmt w:val="bullet"/>
      <w:lvlText w:val="•"/>
      <w:lvlJc w:val="left"/>
      <w:pPr>
        <w:ind w:left="3869" w:hanging="720"/>
      </w:pPr>
      <w:rPr>
        <w:rFonts w:hint="default"/>
        <w:lang w:val="en-au" w:eastAsia="en-US" w:bidi="ar-SA"/>
      </w:rPr>
    </w:lvl>
    <w:lvl w:ilvl="3">
      <w:start w:val="0"/>
      <w:numFmt w:val="bullet"/>
      <w:lvlText w:val="•"/>
      <w:lvlJc w:val="left"/>
      <w:pPr>
        <w:ind w:left="4873" w:hanging="720"/>
      </w:pPr>
      <w:rPr>
        <w:rFonts w:hint="default"/>
        <w:lang w:val="en-au" w:eastAsia="en-US" w:bidi="ar-SA"/>
      </w:rPr>
    </w:lvl>
    <w:lvl w:ilvl="4">
      <w:start w:val="0"/>
      <w:numFmt w:val="bullet"/>
      <w:lvlText w:val="•"/>
      <w:lvlJc w:val="left"/>
      <w:pPr>
        <w:ind w:left="5878" w:hanging="720"/>
      </w:pPr>
      <w:rPr>
        <w:rFonts w:hint="default"/>
        <w:lang w:val="en-au" w:eastAsia="en-US" w:bidi="ar-SA"/>
      </w:rPr>
    </w:lvl>
    <w:lvl w:ilvl="5">
      <w:start w:val="0"/>
      <w:numFmt w:val="bullet"/>
      <w:lvlText w:val="•"/>
      <w:lvlJc w:val="left"/>
      <w:pPr>
        <w:ind w:left="6883" w:hanging="720"/>
      </w:pPr>
      <w:rPr>
        <w:rFonts w:hint="default"/>
        <w:lang w:val="en-au" w:eastAsia="en-US" w:bidi="ar-SA"/>
      </w:rPr>
    </w:lvl>
    <w:lvl w:ilvl="6">
      <w:start w:val="0"/>
      <w:numFmt w:val="bullet"/>
      <w:lvlText w:val="•"/>
      <w:lvlJc w:val="left"/>
      <w:pPr>
        <w:ind w:left="7887" w:hanging="720"/>
      </w:pPr>
      <w:rPr>
        <w:rFonts w:hint="default"/>
        <w:lang w:val="en-au" w:eastAsia="en-US" w:bidi="ar-SA"/>
      </w:rPr>
    </w:lvl>
    <w:lvl w:ilvl="7">
      <w:start w:val="0"/>
      <w:numFmt w:val="bullet"/>
      <w:lvlText w:val="•"/>
      <w:lvlJc w:val="left"/>
      <w:pPr>
        <w:ind w:left="8892" w:hanging="720"/>
      </w:pPr>
      <w:rPr>
        <w:rFonts w:hint="default"/>
        <w:lang w:val="en-au" w:eastAsia="en-US" w:bidi="ar-SA"/>
      </w:rPr>
    </w:lvl>
    <w:lvl w:ilvl="8">
      <w:start w:val="0"/>
      <w:numFmt w:val="bullet"/>
      <w:lvlText w:val="•"/>
      <w:lvlJc w:val="left"/>
      <w:pPr>
        <w:ind w:left="9897" w:hanging="720"/>
      </w:pPr>
      <w:rPr>
        <w:rFonts w:hint="default"/>
        <w:lang w:val="en-au" w:eastAsia="en-US" w:bidi="ar-SA"/>
      </w:rPr>
    </w:lvl>
  </w:abstractNum>
  <w:abstractNum w:abstractNumId="0">
    <w:multiLevelType w:val="hybridMultilevel"/>
    <w:lvl w:ilvl="0">
      <w:start w:val="1"/>
      <w:numFmt w:val="lowerLetter"/>
      <w:lvlText w:val="(%1)"/>
      <w:lvlJc w:val="left"/>
      <w:pPr>
        <w:ind w:left="1853" w:hanging="720"/>
        <w:jc w:val="left"/>
      </w:pPr>
      <w:rPr>
        <w:rFonts w:hint="default" w:ascii="Arial" w:hAnsi="Arial" w:eastAsia="Arial" w:cs="Arial"/>
        <w:w w:val="99"/>
        <w:sz w:val="20"/>
        <w:szCs w:val="20"/>
        <w:lang w:val="en-au" w:eastAsia="en-US" w:bidi="ar-SA"/>
      </w:rPr>
    </w:lvl>
    <w:lvl w:ilvl="1">
      <w:start w:val="1"/>
      <w:numFmt w:val="lowerLetter"/>
      <w:lvlText w:val="%2)"/>
      <w:lvlJc w:val="left"/>
      <w:pPr>
        <w:ind w:left="1853" w:hanging="360"/>
        <w:jc w:val="left"/>
      </w:pPr>
      <w:rPr>
        <w:rFonts w:hint="default" w:ascii="Arial" w:hAnsi="Arial" w:eastAsia="Arial" w:cs="Arial"/>
        <w:spacing w:val="-1"/>
        <w:w w:val="99"/>
        <w:sz w:val="20"/>
        <w:szCs w:val="20"/>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1853" w:hanging="72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con@abf.gov.au" TargetMode="External"/><Relationship Id="rId7" Type="http://schemas.openxmlformats.org/officeDocument/2006/relationships/hyperlink" Target="https://www.abf.gov.au/form-listing/forms/b235.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Cheese and Curd Quota Allocation; Cheese and Curd; Cheese: Curd; Quota; 2019-2020 Allocation; 2019-20 Allocation; ACN 2020/17; Australian Customs Notice;</cp:keywords>
  <dc:subject>Cheese and Curd Quota</dc:subject>
  <dc:title>Home Affairs Notice - Cheese and Curd Quota Allocation 2020-2021</dc:title>
  <dcterms:created xsi:type="dcterms:W3CDTF">2020-12-09T23:09:07Z</dcterms:created>
  <dcterms:modified xsi:type="dcterms:W3CDTF">2020-12-09T23:09:07Z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2016</vt:lpwstr>
  </property>
  <property fmtid="{D5CDD505-2E9C-101B-9397-08002B2CF9AE}" pid="4" name="LastSaved">
    <vt:filetime>2020-12-09T00:00:00Z</vt:filetime>
  </property>
</Properties>
</file>