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2020/21</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pStyle w:val="BodyText"/>
        <w:spacing w:before="8"/>
        <w:rPr>
          <w:sz w:val="10"/>
        </w:rPr>
      </w:pPr>
    </w:p>
    <w:tbl>
      <w:tblPr>
        <w:tblW w:w="0" w:type="auto"/>
        <w:jc w:val="left"/>
        <w:tblInd w:w="1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2704"/>
        <w:gridCol w:w="2789"/>
        <w:gridCol w:w="2173"/>
      </w:tblGrid>
      <w:tr>
        <w:trPr>
          <w:trHeight w:val="227" w:hRule="atLeast"/>
        </w:trPr>
        <w:tc>
          <w:tcPr>
            <w:tcW w:w="1641" w:type="dxa"/>
          </w:tcPr>
          <w:p>
            <w:pPr>
              <w:pStyle w:val="TableParagraph"/>
              <w:spacing w:line="208" w:lineRule="exact"/>
              <w:ind w:left="50"/>
              <w:rPr>
                <w:b/>
                <w:sz w:val="20"/>
              </w:rPr>
            </w:pPr>
            <w:r>
              <w:rPr>
                <w:b/>
                <w:sz w:val="20"/>
              </w:rPr>
              <w:t>INDIVIDUALS:</w:t>
            </w:r>
          </w:p>
        </w:tc>
        <w:tc>
          <w:tcPr>
            <w:tcW w:w="2704" w:type="dxa"/>
          </w:tcPr>
          <w:p>
            <w:pPr>
              <w:pStyle w:val="TableParagraph"/>
              <w:spacing w:line="208" w:lineRule="exact"/>
              <w:ind w:left="124"/>
              <w:rPr>
                <w:b/>
                <w:sz w:val="20"/>
              </w:rPr>
            </w:pPr>
            <w:r>
              <w:rPr>
                <w:b/>
                <w:sz w:val="20"/>
              </w:rPr>
              <w:t>COMPANY:</w:t>
            </w:r>
          </w:p>
        </w:tc>
        <w:tc>
          <w:tcPr>
            <w:tcW w:w="2789" w:type="dxa"/>
          </w:tcPr>
          <w:p>
            <w:pPr>
              <w:pStyle w:val="TableParagraph"/>
              <w:spacing w:line="208" w:lineRule="exact"/>
              <w:ind w:left="135"/>
              <w:rPr>
                <w:b/>
                <w:sz w:val="20"/>
              </w:rPr>
            </w:pPr>
            <w:r>
              <w:rPr>
                <w:b/>
                <w:sz w:val="20"/>
              </w:rPr>
              <w:t>COMPANY:</w:t>
            </w:r>
          </w:p>
        </w:tc>
        <w:tc>
          <w:tcPr>
            <w:tcW w:w="2173" w:type="dxa"/>
          </w:tcPr>
          <w:p>
            <w:pPr>
              <w:pStyle w:val="TableParagraph"/>
              <w:spacing w:line="208" w:lineRule="exact"/>
              <w:ind w:left="116"/>
              <w:rPr>
                <w:b/>
                <w:sz w:val="20"/>
              </w:rPr>
            </w:pPr>
            <w:r>
              <w:rPr>
                <w:b/>
                <w:sz w:val="20"/>
              </w:rPr>
              <w:t>COMPANY:</w:t>
            </w:r>
          </w:p>
        </w:tc>
      </w:tr>
      <w:tr>
        <w:trPr>
          <w:trHeight w:val="1035" w:hRule="atLeast"/>
        </w:trPr>
        <w:tc>
          <w:tcPr>
            <w:tcW w:w="1641" w:type="dxa"/>
          </w:tcPr>
          <w:p>
            <w:pPr>
              <w:pStyle w:val="TableParagraph"/>
              <w:ind w:left="50" w:right="103"/>
              <w:rPr>
                <w:sz w:val="20"/>
              </w:rPr>
            </w:pPr>
            <w:r>
              <w:rPr>
                <w:sz w:val="20"/>
              </w:rPr>
              <w:t>Anand Mehta Emma Renehan Cynthia Santoso Fiona Kennedy</w:t>
            </w:r>
          </w:p>
        </w:tc>
        <w:tc>
          <w:tcPr>
            <w:tcW w:w="2704" w:type="dxa"/>
          </w:tcPr>
          <w:p>
            <w:pPr>
              <w:pStyle w:val="TableParagraph"/>
              <w:ind w:left="131" w:right="1026" w:hanging="7"/>
              <w:rPr>
                <w:sz w:val="20"/>
              </w:rPr>
            </w:pPr>
            <w:r>
              <w:rPr>
                <w:sz w:val="20"/>
              </w:rPr>
              <w:t>Autumn Customs Service Pty Ltd</w:t>
            </w:r>
          </w:p>
          <w:p>
            <w:pPr>
              <w:pStyle w:val="TableParagraph"/>
              <w:spacing w:before="8"/>
              <w:rPr>
                <w:sz w:val="19"/>
              </w:rPr>
            </w:pPr>
          </w:p>
          <w:p>
            <w:pPr>
              <w:pStyle w:val="TableParagraph"/>
              <w:ind w:left="141"/>
              <w:rPr>
                <w:sz w:val="20"/>
              </w:rPr>
            </w:pPr>
            <w:r>
              <w:rPr>
                <w:sz w:val="20"/>
              </w:rPr>
              <w:t>ABN 87 629 909 271</w:t>
            </w:r>
          </w:p>
        </w:tc>
        <w:tc>
          <w:tcPr>
            <w:tcW w:w="2789" w:type="dxa"/>
          </w:tcPr>
          <w:p>
            <w:pPr>
              <w:pStyle w:val="TableParagraph"/>
              <w:spacing w:line="228" w:lineRule="exact"/>
              <w:ind w:left="135"/>
              <w:rPr>
                <w:sz w:val="20"/>
              </w:rPr>
            </w:pPr>
            <w:r>
              <w:rPr>
                <w:sz w:val="20"/>
              </w:rPr>
              <w:t>GTS Australia Pty Ltd</w:t>
            </w:r>
          </w:p>
          <w:p>
            <w:pPr>
              <w:pStyle w:val="TableParagraph"/>
              <w:rPr>
                <w:sz w:val="22"/>
              </w:rPr>
            </w:pPr>
          </w:p>
          <w:p>
            <w:pPr>
              <w:pStyle w:val="TableParagraph"/>
              <w:spacing w:before="10"/>
              <w:rPr>
                <w:sz w:val="17"/>
              </w:rPr>
            </w:pPr>
          </w:p>
          <w:p>
            <w:pPr>
              <w:pStyle w:val="TableParagraph"/>
              <w:ind w:left="135"/>
              <w:rPr>
                <w:sz w:val="20"/>
              </w:rPr>
            </w:pPr>
            <w:r>
              <w:rPr>
                <w:sz w:val="20"/>
              </w:rPr>
              <w:t>ABN 57 098 961 874</w:t>
            </w:r>
          </w:p>
        </w:tc>
        <w:tc>
          <w:tcPr>
            <w:tcW w:w="2173" w:type="dxa"/>
          </w:tcPr>
          <w:p>
            <w:pPr>
              <w:pStyle w:val="TableParagraph"/>
              <w:ind w:left="122" w:hanging="7"/>
              <w:rPr>
                <w:sz w:val="20"/>
              </w:rPr>
            </w:pPr>
            <w:r>
              <w:rPr>
                <w:sz w:val="20"/>
              </w:rPr>
              <w:t>Link Logistics International Pty</w:t>
            </w:r>
            <w:r>
              <w:rPr>
                <w:spacing w:val="-3"/>
                <w:sz w:val="20"/>
              </w:rPr>
              <w:t> </w:t>
            </w:r>
            <w:r>
              <w:rPr>
                <w:spacing w:val="-4"/>
                <w:sz w:val="20"/>
              </w:rPr>
              <w:t>Ltd</w:t>
            </w:r>
          </w:p>
          <w:p>
            <w:pPr>
              <w:pStyle w:val="TableParagraph"/>
              <w:spacing w:before="8"/>
              <w:rPr>
                <w:sz w:val="19"/>
              </w:rPr>
            </w:pPr>
          </w:p>
          <w:p>
            <w:pPr>
              <w:pStyle w:val="TableParagraph"/>
              <w:ind w:left="116"/>
              <w:rPr>
                <w:sz w:val="20"/>
              </w:rPr>
            </w:pPr>
            <w:r>
              <w:rPr>
                <w:sz w:val="20"/>
              </w:rPr>
              <w:t>ABN 51 127 866</w:t>
            </w:r>
            <w:r>
              <w:rPr>
                <w:spacing w:val="-8"/>
                <w:sz w:val="20"/>
              </w:rPr>
              <w:t> </w:t>
            </w:r>
            <w:r>
              <w:rPr>
                <w:sz w:val="20"/>
              </w:rPr>
              <w:t>611</w:t>
            </w:r>
          </w:p>
        </w:tc>
      </w:tr>
      <w:tr>
        <w:trPr>
          <w:trHeight w:val="805" w:hRule="atLeast"/>
        </w:trPr>
        <w:tc>
          <w:tcPr>
            <w:tcW w:w="1641" w:type="dxa"/>
          </w:tcPr>
          <w:p>
            <w:pPr>
              <w:pStyle w:val="TableParagraph"/>
              <w:rPr>
                <w:rFonts w:ascii="Times New Roman"/>
                <w:sz w:val="20"/>
              </w:rPr>
            </w:pPr>
          </w:p>
        </w:tc>
        <w:tc>
          <w:tcPr>
            <w:tcW w:w="2704" w:type="dxa"/>
          </w:tcPr>
          <w:p>
            <w:pPr>
              <w:pStyle w:val="TableParagraph"/>
              <w:spacing w:before="112"/>
              <w:ind w:left="124" w:right="114"/>
              <w:rPr>
                <w:sz w:val="20"/>
              </w:rPr>
            </w:pPr>
            <w:r>
              <w:rPr>
                <w:sz w:val="20"/>
              </w:rPr>
              <w:t>125 Hillcrest Avenue Hurstville Grove NSW 2220</w:t>
            </w:r>
          </w:p>
        </w:tc>
        <w:tc>
          <w:tcPr>
            <w:tcW w:w="2789" w:type="dxa"/>
          </w:tcPr>
          <w:p>
            <w:pPr>
              <w:pStyle w:val="TableParagraph"/>
              <w:spacing w:before="112"/>
              <w:ind w:left="135" w:right="87"/>
              <w:rPr>
                <w:sz w:val="20"/>
              </w:rPr>
            </w:pPr>
            <w:r>
              <w:rPr>
                <w:sz w:val="20"/>
              </w:rPr>
              <w:t>Unit 2b, 919-925 Nudgee Rd Banyo QLD 4014</w:t>
            </w:r>
          </w:p>
        </w:tc>
        <w:tc>
          <w:tcPr>
            <w:tcW w:w="2173" w:type="dxa"/>
          </w:tcPr>
          <w:p>
            <w:pPr>
              <w:pStyle w:val="TableParagraph"/>
              <w:spacing w:before="112"/>
              <w:ind w:left="115"/>
              <w:rPr>
                <w:sz w:val="20"/>
              </w:rPr>
            </w:pPr>
            <w:r>
              <w:rPr>
                <w:sz w:val="20"/>
              </w:rPr>
              <w:t>Unit 3, 4 Sinclair Place</w:t>
            </w:r>
          </w:p>
          <w:p>
            <w:pPr>
              <w:pStyle w:val="TableParagraph"/>
              <w:ind w:left="115"/>
              <w:rPr>
                <w:sz w:val="20"/>
              </w:rPr>
            </w:pPr>
            <w:r>
              <w:rPr>
                <w:sz w:val="20"/>
              </w:rPr>
              <w:t>Cambridge TAS 7170</w:t>
            </w:r>
          </w:p>
        </w:tc>
      </w:tr>
      <w:tr>
        <w:trPr>
          <w:trHeight w:val="1035" w:hRule="atLeast"/>
        </w:trPr>
        <w:tc>
          <w:tcPr>
            <w:tcW w:w="1641" w:type="dxa"/>
          </w:tcPr>
          <w:p>
            <w:pPr>
              <w:pStyle w:val="TableParagraph"/>
              <w:rPr>
                <w:rFonts w:ascii="Times New Roman"/>
                <w:sz w:val="20"/>
              </w:rPr>
            </w:pPr>
          </w:p>
        </w:tc>
        <w:tc>
          <w:tcPr>
            <w:tcW w:w="2704" w:type="dxa"/>
          </w:tcPr>
          <w:p>
            <w:pPr>
              <w:pStyle w:val="TableParagraph"/>
              <w:spacing w:before="7"/>
              <w:rPr>
                <w:sz w:val="19"/>
              </w:rPr>
            </w:pPr>
          </w:p>
          <w:p>
            <w:pPr>
              <w:pStyle w:val="TableParagraph"/>
              <w:ind w:left="124" w:right="870"/>
              <w:rPr>
                <w:sz w:val="20"/>
              </w:rPr>
            </w:pPr>
            <w:r>
              <w:rPr>
                <w:sz w:val="20"/>
                <w:u w:val="single"/>
              </w:rPr>
              <w:t>Person in Authority</w:t>
            </w:r>
            <w:r>
              <w:rPr>
                <w:sz w:val="20"/>
              </w:rPr>
              <w:t> Fengcai Qiu</w:t>
            </w:r>
          </w:p>
        </w:tc>
        <w:tc>
          <w:tcPr>
            <w:tcW w:w="2789" w:type="dxa"/>
          </w:tcPr>
          <w:p>
            <w:pPr>
              <w:pStyle w:val="TableParagraph"/>
              <w:spacing w:before="7"/>
              <w:rPr>
                <w:sz w:val="19"/>
              </w:rPr>
            </w:pPr>
          </w:p>
          <w:p>
            <w:pPr>
              <w:pStyle w:val="TableParagraph"/>
              <w:ind w:left="135" w:right="844"/>
              <w:rPr>
                <w:sz w:val="20"/>
              </w:rPr>
            </w:pPr>
            <w:r>
              <w:rPr>
                <w:sz w:val="20"/>
                <w:u w:val="single"/>
              </w:rPr>
              <w:t>Persons in Authority</w:t>
            </w:r>
            <w:r>
              <w:rPr>
                <w:sz w:val="20"/>
              </w:rPr>
              <w:t> Michelle Peter Joseph Peter</w:t>
            </w:r>
          </w:p>
        </w:tc>
        <w:tc>
          <w:tcPr>
            <w:tcW w:w="2173" w:type="dxa"/>
          </w:tcPr>
          <w:p>
            <w:pPr>
              <w:pStyle w:val="TableParagraph"/>
              <w:spacing w:before="7"/>
              <w:rPr>
                <w:sz w:val="19"/>
              </w:rPr>
            </w:pPr>
          </w:p>
          <w:p>
            <w:pPr>
              <w:pStyle w:val="TableParagraph"/>
              <w:ind w:left="117" w:right="348" w:hanging="2"/>
              <w:rPr>
                <w:sz w:val="20"/>
              </w:rPr>
            </w:pPr>
            <w:r>
              <w:rPr>
                <w:sz w:val="20"/>
                <w:u w:val="single"/>
              </w:rPr>
              <w:t>Person in Authority</w:t>
            </w:r>
            <w:r>
              <w:rPr>
                <w:sz w:val="20"/>
              </w:rPr>
              <w:t> Christopher Fox</w:t>
            </w:r>
          </w:p>
        </w:tc>
      </w:tr>
      <w:tr>
        <w:trPr>
          <w:trHeight w:val="799" w:hRule="atLeast"/>
        </w:trPr>
        <w:tc>
          <w:tcPr>
            <w:tcW w:w="1641" w:type="dxa"/>
          </w:tcPr>
          <w:p>
            <w:pPr>
              <w:pStyle w:val="TableParagraph"/>
              <w:rPr>
                <w:rFonts w:ascii="Times New Roman"/>
                <w:sz w:val="20"/>
              </w:rPr>
            </w:pPr>
          </w:p>
        </w:tc>
        <w:tc>
          <w:tcPr>
            <w:tcW w:w="2704" w:type="dxa"/>
          </w:tcPr>
          <w:p>
            <w:pPr>
              <w:pStyle w:val="TableParagraph"/>
              <w:spacing w:before="112"/>
              <w:ind w:left="124" w:right="1114"/>
              <w:rPr>
                <w:sz w:val="20"/>
              </w:rPr>
            </w:pPr>
            <w:r>
              <w:rPr>
                <w:sz w:val="20"/>
                <w:u w:val="single"/>
              </w:rPr>
              <w:t>Nominee Broker</w:t>
            </w:r>
            <w:r>
              <w:rPr>
                <w:sz w:val="20"/>
              </w:rPr>
              <w:t> Fengcai Qiu</w:t>
            </w:r>
          </w:p>
        </w:tc>
        <w:tc>
          <w:tcPr>
            <w:tcW w:w="2789" w:type="dxa"/>
          </w:tcPr>
          <w:p>
            <w:pPr>
              <w:pStyle w:val="TableParagraph"/>
              <w:spacing w:before="112"/>
              <w:ind w:left="135" w:right="1088"/>
              <w:rPr>
                <w:sz w:val="20"/>
              </w:rPr>
            </w:pPr>
            <w:r>
              <w:rPr>
                <w:sz w:val="20"/>
                <w:u w:val="single"/>
              </w:rPr>
              <w:t>Nominee Brokers</w:t>
            </w:r>
            <w:r>
              <w:rPr>
                <w:sz w:val="20"/>
              </w:rPr>
              <w:t> Adam Kemp</w:t>
            </w:r>
          </w:p>
          <w:p>
            <w:pPr>
              <w:pStyle w:val="TableParagraph"/>
              <w:spacing w:line="208" w:lineRule="exact"/>
              <w:ind w:left="135"/>
              <w:rPr>
                <w:sz w:val="20"/>
              </w:rPr>
            </w:pPr>
            <w:r>
              <w:rPr>
                <w:sz w:val="20"/>
              </w:rPr>
              <w:t>Adam Stokes</w:t>
            </w:r>
          </w:p>
        </w:tc>
        <w:tc>
          <w:tcPr>
            <w:tcW w:w="2173" w:type="dxa"/>
          </w:tcPr>
          <w:p>
            <w:pPr>
              <w:pStyle w:val="TableParagraph"/>
              <w:spacing w:before="112"/>
              <w:ind w:left="110" w:right="592" w:firstLine="5"/>
              <w:rPr>
                <w:sz w:val="20"/>
              </w:rPr>
            </w:pPr>
            <w:r>
              <w:rPr>
                <w:sz w:val="20"/>
                <w:u w:val="single"/>
              </w:rPr>
              <w:t>Nominee Broker</w:t>
            </w:r>
            <w:r>
              <w:rPr>
                <w:sz w:val="20"/>
              </w:rPr>
              <w:t> John Brennan</w:t>
            </w:r>
          </w:p>
        </w:tc>
      </w:tr>
    </w:tbl>
    <w:p>
      <w:pPr>
        <w:pStyle w:val="BodyText"/>
        <w:spacing w:before="1"/>
      </w:pPr>
    </w:p>
    <w:p>
      <w:pPr>
        <w:pStyle w:val="BodyText"/>
        <w:ind w:left="1132" w:right="1285"/>
      </w:pPr>
      <w:r>
        <w:rPr/>
        <w:t>Any person wishing to make written representation in respect of any of these applicants should address the correspondence, by 6 June 2020, to:</w:t>
      </w:r>
    </w:p>
    <w:p>
      <w:pPr>
        <w:pStyle w:val="BodyText"/>
        <w:spacing w:before="10"/>
        <w:rPr>
          <w:sz w:val="19"/>
        </w:rPr>
      </w:pPr>
    </w:p>
    <w:p>
      <w:pPr>
        <w:pStyle w:val="BodyText"/>
        <w:ind w:left="1132"/>
      </w:pPr>
      <w:r>
        <w:rPr/>
        <w:t>Broker Licensing</w:t>
      </w:r>
    </w:p>
    <w:p>
      <w:pPr>
        <w:pStyle w:val="BodyText"/>
        <w:tabs>
          <w:tab w:pos="6172" w:val="left" w:leader="none"/>
        </w:tabs>
        <w:ind w:left="1132"/>
      </w:pPr>
      <w:r>
        <w:rPr/>
        <w:t>Australian</w:t>
      </w:r>
      <w:r>
        <w:rPr>
          <w:spacing w:val="-4"/>
        </w:rPr>
        <w:t> </w:t>
      </w:r>
      <w:r>
        <w:rPr/>
        <w:t>Border</w:t>
      </w:r>
      <w:r>
        <w:rPr>
          <w:spacing w:val="-3"/>
        </w:rPr>
        <w:t> </w:t>
      </w:r>
      <w:r>
        <w:rPr/>
        <w:t>Force</w:t>
        <w:tab/>
        <w:t>Or email:</w:t>
      </w:r>
    </w:p>
    <w:p>
      <w:pPr>
        <w:pStyle w:val="BodyText"/>
        <w:tabs>
          <w:tab w:pos="6172" w:val="left" w:leader="none"/>
        </w:tabs>
        <w:spacing w:before="1"/>
        <w:ind w:left="1132" w:right="3094"/>
      </w:pPr>
      <w:r>
        <w:rPr/>
        <w:t>3</w:t>
      </w:r>
      <w:r>
        <w:rPr>
          <w:spacing w:val="-2"/>
        </w:rPr>
        <w:t> </w:t>
      </w:r>
      <w:r>
        <w:rPr/>
        <w:t>Molongolo</w:t>
      </w:r>
      <w:r>
        <w:rPr>
          <w:spacing w:val="-2"/>
        </w:rPr>
        <w:t> </w:t>
      </w:r>
      <w:r>
        <w:rPr/>
        <w:t>Drive</w:t>
        <w:tab/>
      </w:r>
      <w:hyperlink r:id="rId6">
        <w:r>
          <w:rPr>
            <w:w w:val="95"/>
            <w:u w:val="single"/>
          </w:rPr>
          <w:t>brokers.licensing@abf.gov.au</w:t>
        </w:r>
      </w:hyperlink>
      <w:r>
        <w:rPr>
          <w:w w:val="95"/>
        </w:rPr>
        <w:t> </w:t>
      </w:r>
      <w:r>
        <w:rPr/>
        <w:t>Canberra</w:t>
      </w:r>
      <w:r>
        <w:rPr>
          <w:spacing w:val="-2"/>
        </w:rPr>
        <w:t> </w:t>
      </w:r>
      <w:r>
        <w:rPr/>
        <w:t>Airport</w:t>
      </w:r>
    </w:p>
    <w:p>
      <w:pPr>
        <w:pStyle w:val="BodyText"/>
        <w:spacing w:before="1"/>
        <w:ind w:left="1132"/>
      </w:pPr>
      <w:r>
        <w:rPr/>
        <w:t>CANBERRA ACT 2609</w:t>
      </w:r>
    </w:p>
    <w:p>
      <w:pPr>
        <w:pStyle w:val="BodyText"/>
        <w:spacing w:before="10"/>
        <w:rPr>
          <w:sz w:val="19"/>
        </w:rPr>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spacing w:before="1"/>
      </w:pPr>
    </w:p>
    <w:p>
      <w:pPr>
        <w:pStyle w:val="BodyText"/>
        <w:ind w:left="1132"/>
      </w:pPr>
      <w:r>
        <w:rPr/>
        <w:t>Steve Moore</w:t>
      </w:r>
    </w:p>
    <w:p>
      <w:pPr>
        <w:pStyle w:val="BodyText"/>
        <w:ind w:left="1132"/>
      </w:pPr>
      <w:r>
        <w:rPr/>
        <w:t>Director, Customs Licensing</w:t>
      </w:r>
    </w:p>
    <w:p>
      <w:pPr>
        <w:pStyle w:val="BodyText"/>
        <w:spacing w:before="1"/>
        <w:ind w:left="1132" w:right="5103"/>
      </w:pPr>
      <w:r>
        <w:rPr/>
        <w:t>Trusted Trader and Trade Compliance Branch | Customs Group Australian Border Force</w:t>
      </w:r>
    </w:p>
    <w:p>
      <w:pPr>
        <w:pStyle w:val="BodyText"/>
        <w:spacing w:line="480" w:lineRule="auto"/>
        <w:ind w:left="1132" w:right="9191"/>
      </w:pPr>
      <w:r>
        <w:rPr/>
        <w:t>CANBERRA ACT 21 May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2020/21</dc:title>
  <dcterms:created xsi:type="dcterms:W3CDTF">2020-12-09T22:20:56Z</dcterms:created>
  <dcterms:modified xsi:type="dcterms:W3CDTF">2020-12-09T22:20:56Z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Power PDF Create</vt:lpwstr>
  </property>
  <property fmtid="{D5CDD505-2E9C-101B-9397-08002B2CF9AE}" pid="4" name="LastSaved">
    <vt:filetime>2020-12-09T00:00:00Z</vt:filetime>
  </property>
</Properties>
</file>