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Title"/>
        <w:spacing w:line="264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-2049123</wp:posOffset>
            </wp:positionV>
            <wp:extent cx="7559674" cy="2048380"/>
            <wp:effectExtent l="0" t="0" r="0" b="0"/>
            <wp:wrapNone/>
            <wp:docPr id="1" name="image1.jpeg" descr="Australian Border Force Bann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2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2144"/>
        </w:rPr>
        <w:t>Australian Customs Notice No. 2020/25</w:t>
      </w:r>
    </w:p>
    <w:p>
      <w:pPr>
        <w:spacing w:before="118"/>
        <w:ind w:left="2609" w:right="2635" w:firstLine="0"/>
        <w:jc w:val="center"/>
        <w:rPr>
          <w:sz w:val="40"/>
        </w:rPr>
      </w:pPr>
      <w:r>
        <w:rPr>
          <w:color w:val="956D23"/>
          <w:sz w:val="40"/>
        </w:rPr>
        <w:t>Luxury car tax thresholds for 2020-21</w:t>
      </w:r>
    </w:p>
    <w:p>
      <w:pPr>
        <w:pStyle w:val="BodyText"/>
        <w:spacing w:line="367" w:lineRule="auto" w:before="184" w:after="57"/>
        <w:ind w:left="1133" w:right="1841"/>
      </w:pPr>
      <w:r>
        <w:rPr/>
        <w:t>This Notice advises of increases to the luxury car tax (LCT) thresholds for the 2020-21 financial year. From 1 July 2020, the following LCT thresholds will take effect:</w:t>
      </w:r>
    </w:p>
    <w:tbl>
      <w:tblPr>
        <w:tblW w:w="0" w:type="auto"/>
        <w:jc w:val="left"/>
        <w:tblInd w:w="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"/>
        <w:gridCol w:w="2889"/>
        <w:gridCol w:w="4913"/>
      </w:tblGrid>
      <w:tr>
        <w:trPr>
          <w:trHeight w:val="303" w:hRule="atLeast"/>
        </w:trPr>
        <w:tc>
          <w:tcPr>
            <w:tcW w:w="273" w:type="dxa"/>
          </w:tcPr>
          <w:p>
            <w:pPr>
              <w:pStyle w:val="TableParagraph"/>
              <w:ind w:right="79"/>
              <w:jc w:val="center"/>
              <w:rPr>
                <w:sz w:val="20"/>
              </w:rPr>
            </w:pPr>
            <w:r>
              <w:rPr>
                <w:w w:val="61"/>
                <w:sz w:val="20"/>
              </w:rPr>
              <w:t></w:t>
            </w:r>
          </w:p>
        </w:tc>
        <w:tc>
          <w:tcPr>
            <w:tcW w:w="2889" w:type="dxa"/>
          </w:tcPr>
          <w:p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Fuel efficient vehicles</w:t>
            </w:r>
          </w:p>
        </w:tc>
        <w:tc>
          <w:tcPr>
            <w:tcW w:w="4913" w:type="dxa"/>
          </w:tcPr>
          <w:p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$77,565 (increased from $75,526 in 2019-20)</w:t>
            </w:r>
          </w:p>
        </w:tc>
      </w:tr>
      <w:tr>
        <w:trPr>
          <w:trHeight w:val="303" w:hRule="atLeast"/>
        </w:trPr>
        <w:tc>
          <w:tcPr>
            <w:tcW w:w="273" w:type="dxa"/>
          </w:tcPr>
          <w:p>
            <w:pPr>
              <w:pStyle w:val="TableParagraph"/>
              <w:spacing w:line="211" w:lineRule="exact" w:before="72"/>
              <w:ind w:right="79"/>
              <w:jc w:val="center"/>
              <w:rPr>
                <w:sz w:val="20"/>
              </w:rPr>
            </w:pPr>
            <w:r>
              <w:rPr>
                <w:w w:val="61"/>
                <w:sz w:val="20"/>
              </w:rPr>
              <w:t></w:t>
            </w:r>
          </w:p>
        </w:tc>
        <w:tc>
          <w:tcPr>
            <w:tcW w:w="2889" w:type="dxa"/>
          </w:tcPr>
          <w:p>
            <w:pPr>
              <w:pStyle w:val="TableParagraph"/>
              <w:spacing w:line="211" w:lineRule="exact" w:before="72"/>
              <w:ind w:left="132"/>
              <w:rPr>
                <w:sz w:val="20"/>
              </w:rPr>
            </w:pPr>
            <w:r>
              <w:rPr>
                <w:sz w:val="20"/>
              </w:rPr>
              <w:t>Other vehicles</w:t>
            </w:r>
          </w:p>
        </w:tc>
        <w:tc>
          <w:tcPr>
            <w:tcW w:w="4913" w:type="dxa"/>
          </w:tcPr>
          <w:p>
            <w:pPr>
              <w:pStyle w:val="TableParagraph"/>
              <w:spacing w:line="211" w:lineRule="exact" w:before="72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$68,740 (increased from $67,525 in 2019-20)</w:t>
            </w:r>
          </w:p>
        </w:tc>
      </w:tr>
    </w:tbl>
    <w:p>
      <w:pPr>
        <w:pStyle w:val="BodyText"/>
        <w:spacing w:before="181"/>
        <w:ind w:left="1133"/>
      </w:pPr>
      <w:r>
        <w:rPr/>
        <w:t>The Integrated Cargo System will be amended to reflect the increased LCT thresholds.</w:t>
      </w:r>
    </w:p>
    <w:p>
      <w:pPr>
        <w:pStyle w:val="BodyText"/>
        <w:spacing w:before="6"/>
      </w:pPr>
    </w:p>
    <w:p>
      <w:pPr>
        <w:spacing w:before="0"/>
        <w:ind w:left="1133" w:right="0" w:firstLine="0"/>
        <w:jc w:val="left"/>
        <w:rPr>
          <w:b/>
          <w:sz w:val="20"/>
        </w:rPr>
      </w:pPr>
      <w:r>
        <w:rPr>
          <w:b/>
          <w:color w:val="956D23"/>
          <w:sz w:val="20"/>
        </w:rPr>
        <w:t>Further information</w:t>
      </w:r>
    </w:p>
    <w:p>
      <w:pPr>
        <w:pStyle w:val="BodyText"/>
        <w:spacing w:line="264" w:lineRule="auto" w:before="82"/>
        <w:ind w:left="1133" w:right="2739"/>
      </w:pPr>
      <w:r>
        <w:rPr/>
        <w:t>For further information about LCT thresholds, visit the Australian Taxation Office website at </w:t>
      </w:r>
      <w:hyperlink r:id="rId6">
        <w:r>
          <w:rPr/>
          <w:t>www.ato.gov.au/rates/luxury-car-tax-rate-and-thresholds.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1133"/>
      </w:pPr>
      <w:r>
        <w:rPr/>
        <w:t>[Signed]</w:t>
      </w:r>
    </w:p>
    <w:p>
      <w:pPr>
        <w:pStyle w:val="BodyText"/>
        <w:spacing w:line="256" w:lineRule="auto" w:before="138"/>
        <w:ind w:left="1133" w:right="9000"/>
      </w:pPr>
      <w:r>
        <w:rPr/>
        <w:t>Matthew Duckworth Assistant Secretary</w:t>
      </w:r>
    </w:p>
    <w:p>
      <w:pPr>
        <w:pStyle w:val="BodyText"/>
        <w:spacing w:line="256" w:lineRule="auto" w:before="5"/>
        <w:ind w:left="1133" w:right="7722"/>
      </w:pPr>
      <w:r>
        <w:rPr/>
        <w:t>Customs and Trade Policy Branch Customs Group</w:t>
      </w:r>
    </w:p>
    <w:p>
      <w:pPr>
        <w:pStyle w:val="BodyText"/>
        <w:spacing w:before="86"/>
        <w:ind w:left="1133"/>
      </w:pPr>
      <w:r>
        <w:rPr/>
        <w:t>19 June 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tabs>
          <w:tab w:pos="4366" w:val="left" w:leader="none"/>
          <w:tab w:pos="11908" w:val="left" w:leader="none"/>
        </w:tabs>
        <w:spacing w:before="0"/>
        <w:ind w:left="0" w:right="-15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Times New Roman" w:hAnsi="Times New Roman"/>
          <w:color w:val="FFFFFF"/>
          <w:sz w:val="24"/>
          <w:shd w:fill="082144" w:color="auto" w:val="clear"/>
        </w:rPr>
        <w:t> </w:t>
        <w:tab/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Australia’s customs</w:t>
      </w:r>
      <w:r>
        <w:rPr>
          <w:rFonts w:ascii="Arial-BoldItalicMT" w:hAnsi="Arial-BoldItalicMT"/>
          <w:b/>
          <w:i/>
          <w:color w:val="FFFFFF"/>
          <w:spacing w:val="-11"/>
          <w:sz w:val="24"/>
          <w:shd w:fill="082144" w:color="auto" w:val="clear"/>
        </w:rPr>
        <w:t> </w:t>
      </w:r>
      <w:r>
        <w:rPr>
          <w:rFonts w:ascii="Arial-BoldItalicMT" w:hAnsi="Arial-BoldItalicMT"/>
          <w:b/>
          <w:i/>
          <w:color w:val="FFFFFF"/>
          <w:sz w:val="24"/>
          <w:shd w:fill="082144" w:color="auto" w:val="clear"/>
        </w:rPr>
        <w:t>service</w:t>
        <w:tab/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609" w:right="2609"/>
      <w:jc w:val="center"/>
    </w:pPr>
    <w:rPr>
      <w:rFonts w:ascii="Arial" w:hAnsi="Arial" w:eastAsia="Arial" w:cs="Arial"/>
      <w:b/>
      <w:bCs/>
      <w:sz w:val="48"/>
      <w:szCs w:val="4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</w:pPr>
    <w:rPr>
      <w:rFonts w:ascii="Arial" w:hAnsi="Arial" w:eastAsia="Arial" w:cs="Arial"/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to.gov.au/rates/luxury-car-tax-rate-and-threshold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Border Force</dc:creator>
  <cp:keywords>luxury car tax, LCT</cp:keywords>
  <dc:subject>ACN 2020/25 - Luxury car tax thresholds for 2020-21</dc:subject>
  <dc:title>ACN 2020/25 - Luxury car tax thresholds for 2020-21</dc:title>
  <dcterms:created xsi:type="dcterms:W3CDTF">2020-12-09T22:29:13Z</dcterms:created>
  <dcterms:modified xsi:type="dcterms:W3CDTF">2020-12-09T22:29:13Z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