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r>
        <w:rPr>
          <w:color w:val="082144"/>
        </w:rPr>
        <w:t>Australian Customs Notice No. 2020/26</w:t>
      </w:r>
    </w:p>
    <w:p>
      <w:pPr>
        <w:spacing w:before="118"/>
        <w:ind w:left="2239" w:right="2271" w:firstLine="0"/>
        <w:jc w:val="center"/>
        <w:rPr>
          <w:sz w:val="40"/>
        </w:rPr>
      </w:pPr>
      <w:r>
        <w:rPr>
          <w:color w:val="956D23"/>
          <w:sz w:val="40"/>
        </w:rPr>
        <w:t>Customs duty rate reductions 1 July 2020</w:t>
      </w:r>
    </w:p>
    <w:p>
      <w:pPr>
        <w:pStyle w:val="Heading1"/>
        <w:spacing w:before="243"/>
      </w:pPr>
      <w:r>
        <w:rPr>
          <w:color w:val="956D23"/>
        </w:rPr>
        <w:t>Expanded Information Technology Agreement (EITA)</w:t>
      </w:r>
    </w:p>
    <w:p>
      <w:pPr>
        <w:pStyle w:val="BodyText"/>
        <w:spacing w:line="261" w:lineRule="auto" w:before="179"/>
        <w:ind w:left="1133" w:right="1140"/>
      </w:pPr>
      <w:r>
        <w:rPr/>
        <w:t>The fifth scheduled phase down of customs duty rates under the EITA will occur on 1 July 2020. This will affect the following goods in Chapter 85 of Schedule 3 to the </w:t>
      </w:r>
      <w:r>
        <w:rPr>
          <w:i/>
        </w:rPr>
        <w:t>Customs Tariff Act 1995</w:t>
      </w:r>
      <w:r>
        <w:rPr/>
        <w:t>:</w:t>
      </w:r>
    </w:p>
    <w:p>
      <w:pPr>
        <w:pStyle w:val="ListParagraph"/>
        <w:numPr>
          <w:ilvl w:val="0"/>
          <w:numId w:val="1"/>
        </w:numPr>
        <w:tabs>
          <w:tab w:pos="1853" w:val="left" w:leader="none"/>
          <w:tab w:pos="1854" w:val="left" w:leader="none"/>
        </w:tabs>
        <w:spacing w:line="240" w:lineRule="auto" w:before="140" w:after="0"/>
        <w:ind w:left="1853" w:right="0" w:hanging="361"/>
        <w:jc w:val="left"/>
        <w:rPr>
          <w:sz w:val="20"/>
        </w:rPr>
      </w:pPr>
      <w:r>
        <w:rPr>
          <w:sz w:val="20"/>
        </w:rPr>
        <w:t>Loudspeakers</w:t>
      </w:r>
    </w:p>
    <w:p>
      <w:pPr>
        <w:pStyle w:val="ListParagraph"/>
        <w:numPr>
          <w:ilvl w:val="0"/>
          <w:numId w:val="1"/>
        </w:numPr>
        <w:tabs>
          <w:tab w:pos="1853" w:val="left" w:leader="none"/>
          <w:tab w:pos="1854" w:val="left" w:leader="none"/>
        </w:tabs>
        <w:spacing w:line="240" w:lineRule="auto" w:before="12" w:after="0"/>
        <w:ind w:left="1853" w:right="0" w:hanging="361"/>
        <w:jc w:val="left"/>
        <w:rPr>
          <w:sz w:val="20"/>
        </w:rPr>
      </w:pPr>
      <w:r>
        <w:rPr>
          <w:sz w:val="20"/>
        </w:rPr>
        <w:t>Radio-broadcast</w:t>
      </w:r>
      <w:r>
        <w:rPr>
          <w:spacing w:val="-2"/>
          <w:sz w:val="20"/>
        </w:rPr>
        <w:t> </w:t>
      </w:r>
      <w:r>
        <w:rPr>
          <w:sz w:val="20"/>
        </w:rPr>
        <w:t>receivers</w:t>
      </w:r>
    </w:p>
    <w:p>
      <w:pPr>
        <w:pStyle w:val="ListParagraph"/>
        <w:numPr>
          <w:ilvl w:val="0"/>
          <w:numId w:val="1"/>
        </w:numPr>
        <w:tabs>
          <w:tab w:pos="1853" w:val="left" w:leader="none"/>
          <w:tab w:pos="1854" w:val="left" w:leader="none"/>
        </w:tabs>
        <w:spacing w:line="480" w:lineRule="auto" w:before="15" w:after="2"/>
        <w:ind w:left="1133" w:right="3367" w:firstLine="360"/>
        <w:jc w:val="left"/>
        <w:rPr>
          <w:sz w:val="20"/>
        </w:rPr>
      </w:pPr>
      <w:r>
        <w:rPr>
          <w:sz w:val="20"/>
        </w:rPr>
        <w:t>Electrical apparatus for switching, protecting or connecting electrical</w:t>
      </w:r>
      <w:r>
        <w:rPr>
          <w:spacing w:val="-24"/>
          <w:sz w:val="20"/>
        </w:rPr>
        <w:t> </w:t>
      </w:r>
      <w:r>
        <w:rPr>
          <w:sz w:val="20"/>
        </w:rPr>
        <w:t>circuits The relevant tariff subheadings and the new duty rates are as</w:t>
      </w:r>
      <w:r>
        <w:rPr>
          <w:spacing w:val="-11"/>
          <w:sz w:val="20"/>
        </w:rPr>
        <w:t> </w:t>
      </w:r>
      <w:r>
        <w:rPr>
          <w:sz w:val="20"/>
        </w:rPr>
        <w:t>follows:</w:t>
      </w:r>
    </w:p>
    <w:tbl>
      <w:tblPr>
        <w:tblW w:w="0" w:type="auto"/>
        <w:jc w:val="left"/>
        <w:tblInd w:w="3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7"/>
        <w:gridCol w:w="3517"/>
      </w:tblGrid>
      <w:tr>
        <w:trPr>
          <w:trHeight w:val="551" w:hRule="atLeast"/>
        </w:trPr>
        <w:tc>
          <w:tcPr>
            <w:tcW w:w="2247" w:type="dxa"/>
            <w:shd w:val="clear" w:color="auto" w:fill="082144"/>
          </w:tcPr>
          <w:p>
            <w:pPr>
              <w:pStyle w:val="TableParagraph"/>
              <w:spacing w:before="174"/>
              <w:rPr>
                <w:b/>
                <w:sz w:val="20"/>
              </w:rPr>
            </w:pPr>
            <w:r>
              <w:rPr>
                <w:b/>
                <w:color w:val="FFFFFF"/>
                <w:sz w:val="20"/>
              </w:rPr>
              <w:t>Tariff subheading</w:t>
            </w:r>
          </w:p>
        </w:tc>
        <w:tc>
          <w:tcPr>
            <w:tcW w:w="3517" w:type="dxa"/>
            <w:shd w:val="clear" w:color="auto" w:fill="082144"/>
          </w:tcPr>
          <w:p>
            <w:pPr>
              <w:pStyle w:val="TableParagraph"/>
              <w:spacing w:before="174"/>
              <w:rPr>
                <w:b/>
                <w:sz w:val="20"/>
              </w:rPr>
            </w:pPr>
            <w:r>
              <w:rPr>
                <w:b/>
                <w:color w:val="FFFFFF"/>
                <w:sz w:val="20"/>
              </w:rPr>
              <w:t>Customs Duty Rate at 1 July 2020</w:t>
            </w:r>
          </w:p>
        </w:tc>
      </w:tr>
      <w:tr>
        <w:trPr>
          <w:trHeight w:val="390" w:hRule="atLeast"/>
        </w:trPr>
        <w:tc>
          <w:tcPr>
            <w:tcW w:w="2247" w:type="dxa"/>
          </w:tcPr>
          <w:p>
            <w:pPr>
              <w:pStyle w:val="TableParagraph"/>
              <w:spacing w:before="81"/>
              <w:rPr>
                <w:sz w:val="20"/>
              </w:rPr>
            </w:pPr>
            <w:r>
              <w:rPr>
                <w:sz w:val="20"/>
              </w:rPr>
              <w:t>8518.21.00</w:t>
            </w:r>
          </w:p>
        </w:tc>
        <w:tc>
          <w:tcPr>
            <w:tcW w:w="3517" w:type="dxa"/>
            <w:vMerge w:val="restart"/>
          </w:tcPr>
          <w:p>
            <w:pPr>
              <w:pStyle w:val="TableParagraph"/>
              <w:ind w:left="0"/>
              <w:rPr>
                <w:sz w:val="22"/>
              </w:rPr>
            </w:pPr>
          </w:p>
          <w:p>
            <w:pPr>
              <w:pStyle w:val="TableParagraph"/>
              <w:ind w:left="0"/>
              <w:rPr>
                <w:sz w:val="22"/>
              </w:rPr>
            </w:pPr>
          </w:p>
          <w:p>
            <w:pPr>
              <w:pStyle w:val="TableParagraph"/>
              <w:spacing w:before="3"/>
              <w:ind w:left="0"/>
              <w:rPr>
                <w:sz w:val="26"/>
              </w:rPr>
            </w:pPr>
          </w:p>
          <w:p>
            <w:pPr>
              <w:pStyle w:val="TableParagraph"/>
              <w:ind w:left="1451" w:right="1448"/>
              <w:jc w:val="center"/>
              <w:rPr>
                <w:sz w:val="20"/>
              </w:rPr>
            </w:pPr>
            <w:r>
              <w:rPr>
                <w:sz w:val="20"/>
              </w:rPr>
              <w:t>2.5%</w:t>
            </w:r>
          </w:p>
        </w:tc>
      </w:tr>
      <w:tr>
        <w:trPr>
          <w:trHeight w:val="390" w:hRule="atLeast"/>
        </w:trPr>
        <w:tc>
          <w:tcPr>
            <w:tcW w:w="2247" w:type="dxa"/>
          </w:tcPr>
          <w:p>
            <w:pPr>
              <w:pStyle w:val="TableParagraph"/>
              <w:spacing w:before="81"/>
              <w:rPr>
                <w:sz w:val="20"/>
              </w:rPr>
            </w:pPr>
            <w:r>
              <w:rPr>
                <w:sz w:val="20"/>
              </w:rPr>
              <w:t>8518.29.90</w:t>
            </w:r>
          </w:p>
        </w:tc>
        <w:tc>
          <w:tcPr>
            <w:tcW w:w="3517" w:type="dxa"/>
            <w:vMerge/>
            <w:tcBorders>
              <w:top w:val="nil"/>
            </w:tcBorders>
          </w:tcPr>
          <w:p>
            <w:pPr>
              <w:rPr>
                <w:sz w:val="2"/>
                <w:szCs w:val="2"/>
              </w:rPr>
            </w:pPr>
          </w:p>
        </w:tc>
      </w:tr>
      <w:tr>
        <w:trPr>
          <w:trHeight w:val="391" w:hRule="atLeast"/>
        </w:trPr>
        <w:tc>
          <w:tcPr>
            <w:tcW w:w="2247" w:type="dxa"/>
          </w:tcPr>
          <w:p>
            <w:pPr>
              <w:pStyle w:val="TableParagraph"/>
              <w:spacing w:before="81"/>
              <w:rPr>
                <w:sz w:val="20"/>
              </w:rPr>
            </w:pPr>
            <w:r>
              <w:rPr>
                <w:sz w:val="20"/>
              </w:rPr>
              <w:t>8527.21.10</w:t>
            </w:r>
          </w:p>
        </w:tc>
        <w:tc>
          <w:tcPr>
            <w:tcW w:w="3517" w:type="dxa"/>
            <w:vMerge/>
            <w:tcBorders>
              <w:top w:val="nil"/>
            </w:tcBorders>
          </w:tcPr>
          <w:p>
            <w:pPr>
              <w:rPr>
                <w:sz w:val="2"/>
                <w:szCs w:val="2"/>
              </w:rPr>
            </w:pPr>
          </w:p>
        </w:tc>
      </w:tr>
      <w:tr>
        <w:trPr>
          <w:trHeight w:val="393" w:hRule="atLeast"/>
        </w:trPr>
        <w:tc>
          <w:tcPr>
            <w:tcW w:w="2247" w:type="dxa"/>
          </w:tcPr>
          <w:p>
            <w:pPr>
              <w:pStyle w:val="TableParagraph"/>
              <w:spacing w:before="81"/>
              <w:rPr>
                <w:sz w:val="20"/>
              </w:rPr>
            </w:pPr>
            <w:r>
              <w:rPr>
                <w:sz w:val="20"/>
              </w:rPr>
              <w:t>8527.29.00</w:t>
            </w:r>
          </w:p>
        </w:tc>
        <w:tc>
          <w:tcPr>
            <w:tcW w:w="3517" w:type="dxa"/>
            <w:vMerge/>
            <w:tcBorders>
              <w:top w:val="nil"/>
            </w:tcBorders>
          </w:tcPr>
          <w:p>
            <w:pPr>
              <w:rPr>
                <w:sz w:val="2"/>
                <w:szCs w:val="2"/>
              </w:rPr>
            </w:pPr>
          </w:p>
        </w:tc>
      </w:tr>
      <w:tr>
        <w:trPr>
          <w:trHeight w:val="390" w:hRule="atLeast"/>
        </w:trPr>
        <w:tc>
          <w:tcPr>
            <w:tcW w:w="2247" w:type="dxa"/>
          </w:tcPr>
          <w:p>
            <w:pPr>
              <w:pStyle w:val="TableParagraph"/>
              <w:spacing w:before="78"/>
              <w:rPr>
                <w:sz w:val="20"/>
              </w:rPr>
            </w:pPr>
            <w:r>
              <w:rPr>
                <w:sz w:val="20"/>
              </w:rPr>
              <w:t>8536.90.90</w:t>
            </w:r>
          </w:p>
        </w:tc>
        <w:tc>
          <w:tcPr>
            <w:tcW w:w="3517" w:type="dxa"/>
            <w:vMerge/>
            <w:tcBorders>
              <w:top w:val="nil"/>
            </w:tcBorders>
          </w:tcPr>
          <w:p>
            <w:pPr>
              <w:rPr>
                <w:sz w:val="2"/>
                <w:szCs w:val="2"/>
              </w:rPr>
            </w:pPr>
          </w:p>
        </w:tc>
      </w:tr>
      <w:tr>
        <w:trPr>
          <w:trHeight w:val="390" w:hRule="atLeast"/>
        </w:trPr>
        <w:tc>
          <w:tcPr>
            <w:tcW w:w="2247" w:type="dxa"/>
          </w:tcPr>
          <w:p>
            <w:pPr>
              <w:pStyle w:val="TableParagraph"/>
              <w:spacing w:before="78"/>
              <w:rPr>
                <w:sz w:val="20"/>
              </w:rPr>
            </w:pPr>
            <w:r>
              <w:rPr>
                <w:sz w:val="20"/>
              </w:rPr>
              <w:t>8536.50.10</w:t>
            </w:r>
          </w:p>
        </w:tc>
        <w:tc>
          <w:tcPr>
            <w:tcW w:w="3517" w:type="dxa"/>
            <w:vMerge w:val="restart"/>
          </w:tcPr>
          <w:p>
            <w:pPr>
              <w:pStyle w:val="TableParagraph"/>
              <w:ind w:left="0"/>
              <w:rPr>
                <w:sz w:val="22"/>
              </w:rPr>
            </w:pPr>
          </w:p>
          <w:p>
            <w:pPr>
              <w:pStyle w:val="TableParagraph"/>
              <w:spacing w:before="7"/>
              <w:ind w:left="0"/>
              <w:rPr>
                <w:sz w:val="18"/>
              </w:rPr>
            </w:pPr>
          </w:p>
          <w:p>
            <w:pPr>
              <w:pStyle w:val="TableParagraph"/>
              <w:ind w:left="1451" w:right="1448"/>
              <w:jc w:val="center"/>
              <w:rPr>
                <w:sz w:val="20"/>
              </w:rPr>
            </w:pPr>
            <w:r>
              <w:rPr>
                <w:sz w:val="20"/>
              </w:rPr>
              <w:t>3.83%</w:t>
            </w:r>
          </w:p>
        </w:tc>
      </w:tr>
      <w:tr>
        <w:trPr>
          <w:trHeight w:val="390" w:hRule="atLeast"/>
        </w:trPr>
        <w:tc>
          <w:tcPr>
            <w:tcW w:w="2247" w:type="dxa"/>
          </w:tcPr>
          <w:p>
            <w:pPr>
              <w:pStyle w:val="TableParagraph"/>
              <w:spacing w:before="78"/>
              <w:rPr>
                <w:sz w:val="20"/>
              </w:rPr>
            </w:pPr>
            <w:r>
              <w:rPr>
                <w:sz w:val="20"/>
              </w:rPr>
              <w:t>8536.50.93</w:t>
            </w:r>
          </w:p>
        </w:tc>
        <w:tc>
          <w:tcPr>
            <w:tcW w:w="3517" w:type="dxa"/>
            <w:vMerge/>
            <w:tcBorders>
              <w:top w:val="nil"/>
            </w:tcBorders>
          </w:tcPr>
          <w:p>
            <w:pPr>
              <w:rPr>
                <w:sz w:val="2"/>
                <w:szCs w:val="2"/>
              </w:rPr>
            </w:pPr>
          </w:p>
        </w:tc>
      </w:tr>
      <w:tr>
        <w:trPr>
          <w:trHeight w:val="390" w:hRule="atLeast"/>
        </w:trPr>
        <w:tc>
          <w:tcPr>
            <w:tcW w:w="2247" w:type="dxa"/>
          </w:tcPr>
          <w:p>
            <w:pPr>
              <w:pStyle w:val="TableParagraph"/>
              <w:spacing w:before="78"/>
              <w:rPr>
                <w:sz w:val="20"/>
              </w:rPr>
            </w:pPr>
            <w:r>
              <w:rPr>
                <w:sz w:val="20"/>
              </w:rPr>
              <w:t>8536.50.99</w:t>
            </w:r>
          </w:p>
        </w:tc>
        <w:tc>
          <w:tcPr>
            <w:tcW w:w="3517" w:type="dxa"/>
            <w:vMerge/>
            <w:tcBorders>
              <w:top w:val="nil"/>
            </w:tcBorders>
          </w:tcPr>
          <w:p>
            <w:pPr>
              <w:rPr>
                <w:sz w:val="2"/>
                <w:szCs w:val="2"/>
              </w:rPr>
            </w:pPr>
          </w:p>
        </w:tc>
      </w:tr>
    </w:tbl>
    <w:p>
      <w:pPr>
        <w:pStyle w:val="BodyText"/>
        <w:spacing w:before="8"/>
      </w:pPr>
    </w:p>
    <w:p>
      <w:pPr>
        <w:pStyle w:val="Heading1"/>
      </w:pPr>
      <w:r>
        <w:rPr>
          <w:color w:val="956D23"/>
        </w:rPr>
        <w:t>Japan-Australia Economic Partnership Agreement</w:t>
      </w:r>
    </w:p>
    <w:p>
      <w:pPr>
        <w:pStyle w:val="BodyText"/>
        <w:spacing w:line="264" w:lineRule="auto" w:before="179"/>
        <w:ind w:left="1133" w:right="1140"/>
      </w:pPr>
      <w:r>
        <w:rPr/>
        <w:t>Australia has committed to progressively reducing the rates of customs duty on eligible Japanese originating goods under the Japan-Australia Economic Partnership. In accordance with this commitment, the fourth reduction of customs duty rates occurred on 1 April 2020. These changes commenced in the Integrated Cargo System on the same day. The reduction of duty rates affected the following goods:</w:t>
      </w:r>
    </w:p>
    <w:p>
      <w:pPr>
        <w:pStyle w:val="ListParagraph"/>
        <w:numPr>
          <w:ilvl w:val="0"/>
          <w:numId w:val="1"/>
        </w:numPr>
        <w:tabs>
          <w:tab w:pos="1853" w:val="left" w:leader="none"/>
          <w:tab w:pos="1854" w:val="left" w:leader="none"/>
        </w:tabs>
        <w:spacing w:line="240" w:lineRule="auto" w:before="136" w:after="0"/>
        <w:ind w:left="1853" w:right="0" w:hanging="361"/>
        <w:jc w:val="left"/>
        <w:rPr>
          <w:sz w:val="20"/>
        </w:rPr>
      </w:pPr>
      <w:r>
        <w:rPr>
          <w:sz w:val="20"/>
        </w:rPr>
        <w:t>Textile floor</w:t>
      </w:r>
      <w:r>
        <w:rPr>
          <w:spacing w:val="-2"/>
          <w:sz w:val="20"/>
        </w:rPr>
        <w:t> </w:t>
      </w:r>
      <w:r>
        <w:rPr>
          <w:sz w:val="20"/>
        </w:rPr>
        <w:t>coverings</w:t>
      </w:r>
    </w:p>
    <w:p>
      <w:pPr>
        <w:pStyle w:val="ListParagraph"/>
        <w:numPr>
          <w:ilvl w:val="0"/>
          <w:numId w:val="1"/>
        </w:numPr>
        <w:tabs>
          <w:tab w:pos="1853" w:val="left" w:leader="none"/>
          <w:tab w:pos="1854" w:val="left" w:leader="none"/>
        </w:tabs>
        <w:spacing w:line="240" w:lineRule="auto" w:before="12" w:after="0"/>
        <w:ind w:left="1853" w:right="0" w:hanging="361"/>
        <w:jc w:val="left"/>
        <w:rPr>
          <w:sz w:val="20"/>
        </w:rPr>
      </w:pPr>
      <w:r>
        <w:rPr>
          <w:sz w:val="20"/>
        </w:rPr>
        <w:t>Apparel and clothing accessories</w:t>
      </w:r>
    </w:p>
    <w:p>
      <w:pPr>
        <w:pStyle w:val="ListParagraph"/>
        <w:numPr>
          <w:ilvl w:val="0"/>
          <w:numId w:val="1"/>
        </w:numPr>
        <w:tabs>
          <w:tab w:pos="1853" w:val="left" w:leader="none"/>
          <w:tab w:pos="1854" w:val="left" w:leader="none"/>
        </w:tabs>
        <w:spacing w:line="240" w:lineRule="auto" w:before="15" w:after="0"/>
        <w:ind w:left="1853" w:right="0" w:hanging="361"/>
        <w:jc w:val="left"/>
        <w:rPr>
          <w:sz w:val="20"/>
        </w:rPr>
      </w:pPr>
      <w:r>
        <w:rPr>
          <w:sz w:val="20"/>
        </w:rPr>
        <w:t>Footwear</w:t>
      </w:r>
    </w:p>
    <w:p>
      <w:pPr>
        <w:pStyle w:val="ListParagraph"/>
        <w:numPr>
          <w:ilvl w:val="0"/>
          <w:numId w:val="1"/>
        </w:numPr>
        <w:tabs>
          <w:tab w:pos="1853" w:val="left" w:leader="none"/>
          <w:tab w:pos="1854" w:val="left" w:leader="none"/>
        </w:tabs>
        <w:spacing w:line="240" w:lineRule="auto" w:before="12" w:after="0"/>
        <w:ind w:left="1853" w:right="0" w:hanging="361"/>
        <w:jc w:val="left"/>
        <w:rPr>
          <w:sz w:val="20"/>
        </w:rPr>
      </w:pPr>
      <w:r>
        <w:rPr>
          <w:sz w:val="20"/>
        </w:rPr>
        <w:t>Orthopaedic footwear</w:t>
      </w:r>
    </w:p>
    <w:p>
      <w:pPr>
        <w:pStyle w:val="BodyText"/>
        <w:spacing w:before="1"/>
      </w:pPr>
    </w:p>
    <w:p>
      <w:pPr>
        <w:pStyle w:val="BodyText"/>
        <w:ind w:left="1133" w:right="1140"/>
      </w:pPr>
      <w:r>
        <w:rPr/>
        <w:t>Note: phasing rates do not affect the import restrictions and border controls for prohibited goods as regulated by the Customs (Prohibited Imports) Regulations 1956.</w:t>
      </w:r>
    </w:p>
    <w:p>
      <w:pPr>
        <w:pStyle w:val="BodyText"/>
      </w:pPr>
    </w:p>
    <w:p>
      <w:pPr>
        <w:pStyle w:val="BodyText"/>
      </w:pPr>
    </w:p>
    <w:p>
      <w:pPr>
        <w:pStyle w:val="BodyText"/>
        <w:spacing w:before="6"/>
        <w:rPr>
          <w:sz w:val="21"/>
        </w:rPr>
      </w:pPr>
    </w:p>
    <w:p>
      <w:pPr>
        <w:tabs>
          <w:tab w:pos="4364" w:val="left" w:leader="none"/>
          <w:tab w:pos="11908" w:val="left" w:leader="none"/>
        </w:tabs>
        <w:spacing w:before="0"/>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sz w:val="18"/>
        </w:rPr>
      </w:pPr>
    </w:p>
    <w:p>
      <w:pPr>
        <w:pStyle w:val="BodyText"/>
        <w:spacing w:before="93"/>
        <w:ind w:left="1133" w:right="1532"/>
      </w:pPr>
      <w:r>
        <w:rPr/>
        <w:pict>
          <v:rect style="position:absolute;margin-left:0pt;margin-top:-56.770123pt;width:595.320pt;height:25pt;mso-position-horizontal-relative:page;mso-position-vertical-relative:paragraph;z-index:15729152" filled="true" fillcolor="#082144" stroked="false">
            <v:fill type="solid"/>
            <w10:wrap type="none"/>
          </v:rect>
        </w:pict>
      </w:r>
      <w:r>
        <w:rPr/>
        <w:t>The full list of affected tariff subheadings is available at Schedule 11 (Japanese originating goods) to the </w:t>
      </w:r>
      <w:r>
        <w:rPr>
          <w:i/>
        </w:rPr>
        <w:t>Customs Tariff Act 1995 </w:t>
      </w:r>
      <w:r>
        <w:rPr/>
        <w:t>(</w:t>
      </w:r>
      <w:hyperlink r:id="rId6">
        <w:r>
          <w:rPr>
            <w:color w:val="082144"/>
            <w:u w:val="single" w:color="082144"/>
          </w:rPr>
          <w:t>https://www.abf.gov.au/importing-exporting-and-manufacturing/tariff-</w:t>
        </w:r>
      </w:hyperlink>
      <w:r>
        <w:rPr>
          <w:color w:val="082144"/>
        </w:rPr>
        <w:t> </w:t>
      </w:r>
      <w:hyperlink r:id="rId6">
        <w:r>
          <w:rPr>
            <w:color w:val="082144"/>
            <w:u w:val="single" w:color="082144"/>
          </w:rPr>
          <w:t>classification/current-tariff/schedule-11</w:t>
        </w:r>
      </w:hyperlink>
      <w:r>
        <w:rPr/>
        <w:t>).</w:t>
      </w:r>
    </w:p>
    <w:p>
      <w:pPr>
        <w:pStyle w:val="BodyText"/>
        <w:spacing w:before="9"/>
      </w:pPr>
    </w:p>
    <w:p>
      <w:pPr>
        <w:pStyle w:val="Heading1"/>
        <w:spacing w:before="1"/>
      </w:pPr>
      <w:r>
        <w:rPr>
          <w:color w:val="956D23"/>
        </w:rPr>
        <w:t>Amendments to the Online Tariff</w:t>
      </w:r>
    </w:p>
    <w:p>
      <w:pPr>
        <w:pStyle w:val="BodyText"/>
        <w:spacing w:before="121"/>
        <w:ind w:left="1133" w:right="1184"/>
      </w:pPr>
      <w:r>
        <w:rPr/>
        <w:t>Please note, no revised working pages will be issued and no amendments will be made to the Online Tariff for the April and July changes to duty rates under the Japan-Australia Economic Partnership Agreement and EITA. These rates have been incorporated into the existing pages of the Online Tariff.</w:t>
      </w:r>
    </w:p>
    <w:p>
      <w:pPr>
        <w:pStyle w:val="BodyText"/>
        <w:rPr>
          <w:sz w:val="22"/>
        </w:rPr>
      </w:pPr>
    </w:p>
    <w:p>
      <w:pPr>
        <w:pStyle w:val="BodyText"/>
        <w:spacing w:before="137"/>
        <w:ind w:left="1133"/>
      </w:pPr>
      <w:r>
        <w:rPr/>
        <w:t>Enquiries in relation to this notice can be directed to </w:t>
      </w:r>
      <w:hyperlink r:id="rId7">
        <w:r>
          <w:rPr>
            <w:color w:val="082144"/>
            <w:u w:val="single" w:color="082144"/>
          </w:rPr>
          <w:t>tradepolicy1@abf.gov.au</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pStyle w:val="BodyText"/>
        <w:ind w:left="1133"/>
      </w:pPr>
      <w:r>
        <w:rPr/>
        <w:t>[Signed]</w:t>
      </w:r>
    </w:p>
    <w:p>
      <w:pPr>
        <w:pStyle w:val="BodyText"/>
        <w:spacing w:before="1"/>
      </w:pPr>
    </w:p>
    <w:p>
      <w:pPr>
        <w:pStyle w:val="BodyText"/>
        <w:ind w:left="1133" w:right="9000"/>
      </w:pPr>
      <w:r>
        <w:rPr/>
        <w:t>Matthew Duckworth Assistant Secretary</w:t>
      </w:r>
    </w:p>
    <w:p>
      <w:pPr>
        <w:pStyle w:val="BodyText"/>
        <w:ind w:left="1133" w:right="7722"/>
      </w:pPr>
      <w:r>
        <w:rPr/>
        <w:t>Customs and Trade Policy Branch 22 June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p>
    <w:p>
      <w:pPr>
        <w:spacing w:before="95"/>
        <w:ind w:left="0" w:right="1132"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33" w:hanging="360"/>
      </w:pPr>
      <w:rPr>
        <w:rFonts w:hint="default" w:ascii="Arial" w:hAnsi="Arial" w:eastAsia="Arial" w:cs="Arial"/>
        <w:w w:val="130"/>
        <w:sz w:val="20"/>
        <w:szCs w:val="20"/>
        <w:lang w:val="en-au" w:eastAsia="en-US" w:bidi="ar-SA"/>
      </w:rPr>
    </w:lvl>
    <w:lvl w:ilvl="1">
      <w:start w:val="0"/>
      <w:numFmt w:val="bullet"/>
      <w:lvlText w:val="•"/>
      <w:lvlJc w:val="left"/>
      <w:pPr>
        <w:ind w:left="2216" w:hanging="360"/>
      </w:pPr>
      <w:rPr>
        <w:rFonts w:hint="default"/>
        <w:lang w:val="en-au" w:eastAsia="en-US" w:bidi="ar-SA"/>
      </w:rPr>
    </w:lvl>
    <w:lvl w:ilvl="2">
      <w:start w:val="0"/>
      <w:numFmt w:val="bullet"/>
      <w:lvlText w:val="•"/>
      <w:lvlJc w:val="left"/>
      <w:pPr>
        <w:ind w:left="3293" w:hanging="360"/>
      </w:pPr>
      <w:rPr>
        <w:rFonts w:hint="default"/>
        <w:lang w:val="en-au" w:eastAsia="en-US" w:bidi="ar-SA"/>
      </w:rPr>
    </w:lvl>
    <w:lvl w:ilvl="3">
      <w:start w:val="0"/>
      <w:numFmt w:val="bullet"/>
      <w:lvlText w:val="•"/>
      <w:lvlJc w:val="left"/>
      <w:pPr>
        <w:ind w:left="4369" w:hanging="360"/>
      </w:pPr>
      <w:rPr>
        <w:rFonts w:hint="default"/>
        <w:lang w:val="en-au" w:eastAsia="en-US" w:bidi="ar-SA"/>
      </w:rPr>
    </w:lvl>
    <w:lvl w:ilvl="4">
      <w:start w:val="0"/>
      <w:numFmt w:val="bullet"/>
      <w:lvlText w:val="•"/>
      <w:lvlJc w:val="left"/>
      <w:pPr>
        <w:ind w:left="5446" w:hanging="360"/>
      </w:pPr>
      <w:rPr>
        <w:rFonts w:hint="default"/>
        <w:lang w:val="en-au" w:eastAsia="en-US" w:bidi="ar-SA"/>
      </w:rPr>
    </w:lvl>
    <w:lvl w:ilvl="5">
      <w:start w:val="0"/>
      <w:numFmt w:val="bullet"/>
      <w:lvlText w:val="•"/>
      <w:lvlJc w:val="left"/>
      <w:pPr>
        <w:ind w:left="6523" w:hanging="360"/>
      </w:pPr>
      <w:rPr>
        <w:rFonts w:hint="default"/>
        <w:lang w:val="en-au" w:eastAsia="en-US" w:bidi="ar-SA"/>
      </w:rPr>
    </w:lvl>
    <w:lvl w:ilvl="6">
      <w:start w:val="0"/>
      <w:numFmt w:val="bullet"/>
      <w:lvlText w:val="•"/>
      <w:lvlJc w:val="left"/>
      <w:pPr>
        <w:ind w:left="7599" w:hanging="360"/>
      </w:pPr>
      <w:rPr>
        <w:rFonts w:hint="default"/>
        <w:lang w:val="en-au" w:eastAsia="en-US" w:bidi="ar-SA"/>
      </w:rPr>
    </w:lvl>
    <w:lvl w:ilvl="7">
      <w:start w:val="0"/>
      <w:numFmt w:val="bullet"/>
      <w:lvlText w:val="•"/>
      <w:lvlJc w:val="left"/>
      <w:pPr>
        <w:ind w:left="8676" w:hanging="360"/>
      </w:pPr>
      <w:rPr>
        <w:rFonts w:hint="default"/>
        <w:lang w:val="en-au" w:eastAsia="en-US" w:bidi="ar-SA"/>
      </w:rPr>
    </w:lvl>
    <w:lvl w:ilvl="8">
      <w:start w:val="0"/>
      <w:numFmt w:val="bullet"/>
      <w:lvlText w:val="•"/>
      <w:lvlJc w:val="left"/>
      <w:pPr>
        <w:ind w:left="975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16"/>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2"/>
      <w:ind w:left="1853" w:hanging="361"/>
    </w:pPr>
    <w:rPr>
      <w:rFonts w:ascii="Arial" w:hAnsi="Arial" w:eastAsia="Arial" w:cs="Arial"/>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importing-exporting-and-manufacturing/tariff-classification/current-tariff/schedule-11" TargetMode="External"/><Relationship Id="rId7" Type="http://schemas.openxmlformats.org/officeDocument/2006/relationships/hyperlink" Target="mailto:tradepolicy1@abf.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ACN 2020; ACN 2020/26; customs duty rate reduction 1 July 2020; 1 July 2020; Expended Information Technology Agreement; Japan-Australia Economic Partnership Agreement</cp:keywords>
  <dc:subject>Australian Customs Notice 2020/26 - Customs Duty Rate Reductions 1 July 2020</dc:subject>
  <dc:title>Australian Customs Notice 2020/26 - Customs Duty Rate Reductions 1 July 2020</dc:title>
  <dcterms:created xsi:type="dcterms:W3CDTF">2020-12-09T22:32:53Z</dcterms:created>
  <dcterms:modified xsi:type="dcterms:W3CDTF">2020-12-09T22:32:53Z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2016</vt:lpwstr>
  </property>
  <property fmtid="{D5CDD505-2E9C-101B-9397-08002B2CF9AE}" pid="4" name="LastSaved">
    <vt:filetime>2020-12-09T00:00:00Z</vt:filetime>
  </property>
</Properties>
</file>