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2020/38</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424" w:right="1427"/>
      </w:pPr>
      <w:r>
        <w:rPr/>
        <w:t>The following individual and companies have applied to the Comptroller-General of Customs for a customs broker licence:</w:t>
      </w:r>
    </w:p>
    <w:p>
      <w:pPr>
        <w:pStyle w:val="BodyText"/>
        <w:spacing w:before="8"/>
        <w:rPr>
          <w:sz w:val="15"/>
        </w:rPr>
      </w:pPr>
    </w:p>
    <w:tbl>
      <w:tblPr>
        <w:tblW w:w="0" w:type="auto"/>
        <w:jc w:val="left"/>
        <w:tblInd w:w="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7"/>
        <w:gridCol w:w="2178"/>
        <w:gridCol w:w="2751"/>
        <w:gridCol w:w="2638"/>
      </w:tblGrid>
      <w:tr>
        <w:trPr>
          <w:trHeight w:val="299" w:hRule="atLeast"/>
        </w:trPr>
        <w:tc>
          <w:tcPr>
            <w:tcW w:w="3477" w:type="dxa"/>
          </w:tcPr>
          <w:p>
            <w:pPr>
              <w:pStyle w:val="TableParagraph"/>
              <w:spacing w:line="223" w:lineRule="exact"/>
              <w:rPr>
                <w:b/>
                <w:sz w:val="20"/>
              </w:rPr>
            </w:pPr>
            <w:r>
              <w:rPr>
                <w:b/>
                <w:sz w:val="20"/>
              </w:rPr>
              <w:t>CORPORATE:</w:t>
            </w:r>
          </w:p>
        </w:tc>
        <w:tc>
          <w:tcPr>
            <w:tcW w:w="2178" w:type="dxa"/>
          </w:tcPr>
          <w:p>
            <w:pPr>
              <w:pStyle w:val="TableParagraph"/>
              <w:spacing w:line="223" w:lineRule="exact"/>
              <w:ind w:left="105"/>
              <w:rPr>
                <w:b/>
                <w:sz w:val="20"/>
              </w:rPr>
            </w:pPr>
            <w:r>
              <w:rPr>
                <w:b/>
                <w:sz w:val="20"/>
              </w:rPr>
              <w:t>CORPORATE:</w:t>
            </w:r>
          </w:p>
        </w:tc>
        <w:tc>
          <w:tcPr>
            <w:tcW w:w="2751" w:type="dxa"/>
          </w:tcPr>
          <w:p>
            <w:pPr>
              <w:pStyle w:val="TableParagraph"/>
              <w:spacing w:line="223" w:lineRule="exact"/>
              <w:ind w:left="198"/>
              <w:rPr>
                <w:b/>
                <w:sz w:val="20"/>
              </w:rPr>
            </w:pPr>
            <w:r>
              <w:rPr>
                <w:b/>
                <w:sz w:val="20"/>
              </w:rPr>
              <w:t>CORPORATE:</w:t>
            </w:r>
          </w:p>
        </w:tc>
        <w:tc>
          <w:tcPr>
            <w:tcW w:w="2638" w:type="dxa"/>
          </w:tcPr>
          <w:p>
            <w:pPr>
              <w:pStyle w:val="TableParagraph"/>
              <w:spacing w:line="223" w:lineRule="exact"/>
              <w:ind w:left="106"/>
              <w:rPr>
                <w:b/>
                <w:sz w:val="20"/>
              </w:rPr>
            </w:pPr>
            <w:r>
              <w:rPr>
                <w:b/>
                <w:sz w:val="20"/>
              </w:rPr>
              <w:t>CORPORATE:</w:t>
            </w:r>
          </w:p>
        </w:tc>
      </w:tr>
      <w:tr>
        <w:trPr>
          <w:trHeight w:val="314" w:hRule="atLeast"/>
        </w:trPr>
        <w:tc>
          <w:tcPr>
            <w:tcW w:w="3477" w:type="dxa"/>
          </w:tcPr>
          <w:p>
            <w:pPr>
              <w:pStyle w:val="TableParagraph"/>
              <w:spacing w:line="225" w:lineRule="exact" w:before="70"/>
              <w:rPr>
                <w:sz w:val="20"/>
              </w:rPr>
            </w:pPr>
            <w:r>
              <w:rPr>
                <w:sz w:val="20"/>
              </w:rPr>
              <w:t>AMAC Customs and Logistics Pty Ltd</w:t>
            </w:r>
          </w:p>
        </w:tc>
        <w:tc>
          <w:tcPr>
            <w:tcW w:w="2178" w:type="dxa"/>
          </w:tcPr>
          <w:p>
            <w:pPr>
              <w:pStyle w:val="TableParagraph"/>
              <w:spacing w:line="225" w:lineRule="exact" w:before="70"/>
              <w:ind w:left="118"/>
              <w:rPr>
                <w:sz w:val="20"/>
              </w:rPr>
            </w:pPr>
            <w:r>
              <w:rPr>
                <w:sz w:val="20"/>
              </w:rPr>
              <w:t>End 2 End Trading</w:t>
            </w:r>
          </w:p>
        </w:tc>
        <w:tc>
          <w:tcPr>
            <w:tcW w:w="2751" w:type="dxa"/>
          </w:tcPr>
          <w:p>
            <w:pPr>
              <w:pStyle w:val="TableParagraph"/>
              <w:spacing w:line="225" w:lineRule="exact" w:before="70"/>
              <w:ind w:left="198"/>
              <w:rPr>
                <w:sz w:val="20"/>
              </w:rPr>
            </w:pPr>
            <w:r>
              <w:rPr>
                <w:sz w:val="20"/>
              </w:rPr>
              <w:t>EPL International Pty Ltd</w:t>
            </w:r>
          </w:p>
        </w:tc>
        <w:tc>
          <w:tcPr>
            <w:tcW w:w="2638" w:type="dxa"/>
          </w:tcPr>
          <w:p>
            <w:pPr>
              <w:pStyle w:val="TableParagraph"/>
              <w:spacing w:line="225" w:lineRule="exact" w:before="70"/>
              <w:ind w:left="103"/>
              <w:rPr>
                <w:sz w:val="20"/>
              </w:rPr>
            </w:pPr>
            <w:r>
              <w:rPr>
                <w:sz w:val="20"/>
              </w:rPr>
              <w:t>Raw Global (Aust) Pty Ltd</w:t>
            </w:r>
          </w:p>
        </w:tc>
      </w:tr>
      <w:tr>
        <w:trPr>
          <w:trHeight w:val="368" w:hRule="atLeast"/>
        </w:trPr>
        <w:tc>
          <w:tcPr>
            <w:tcW w:w="3477" w:type="dxa"/>
          </w:tcPr>
          <w:p>
            <w:pPr>
              <w:pStyle w:val="TableParagraph"/>
              <w:spacing w:before="7"/>
              <w:rPr>
                <w:sz w:val="20"/>
              </w:rPr>
            </w:pPr>
            <w:r>
              <w:rPr>
                <w:sz w:val="20"/>
              </w:rPr>
              <w:t>as Trustee for the AMAC Unit Trust</w:t>
            </w:r>
          </w:p>
        </w:tc>
        <w:tc>
          <w:tcPr>
            <w:tcW w:w="2178" w:type="dxa"/>
          </w:tcPr>
          <w:p>
            <w:pPr>
              <w:pStyle w:val="TableParagraph"/>
              <w:spacing w:before="7"/>
              <w:ind w:left="139"/>
              <w:rPr>
                <w:sz w:val="20"/>
              </w:rPr>
            </w:pPr>
            <w:r>
              <w:rPr>
                <w:sz w:val="20"/>
              </w:rPr>
              <w:t>and Logistics Pty Ltd</w:t>
            </w:r>
          </w:p>
        </w:tc>
        <w:tc>
          <w:tcPr>
            <w:tcW w:w="2751" w:type="dxa"/>
          </w:tcPr>
          <w:p>
            <w:pPr>
              <w:pStyle w:val="TableParagraph"/>
              <w:ind w:left="0"/>
              <w:rPr>
                <w:rFonts w:ascii="Times New Roman"/>
                <w:sz w:val="20"/>
              </w:rPr>
            </w:pPr>
          </w:p>
        </w:tc>
        <w:tc>
          <w:tcPr>
            <w:tcW w:w="2638" w:type="dxa"/>
          </w:tcPr>
          <w:p>
            <w:pPr>
              <w:pStyle w:val="TableParagraph"/>
              <w:ind w:left="0"/>
              <w:rPr>
                <w:rFonts w:ascii="Times New Roman"/>
                <w:sz w:val="20"/>
              </w:rPr>
            </w:pPr>
          </w:p>
        </w:tc>
      </w:tr>
      <w:tr>
        <w:trPr>
          <w:trHeight w:val="472" w:hRule="atLeast"/>
        </w:trPr>
        <w:tc>
          <w:tcPr>
            <w:tcW w:w="3477" w:type="dxa"/>
          </w:tcPr>
          <w:p>
            <w:pPr>
              <w:pStyle w:val="TableParagraph"/>
              <w:spacing w:before="124"/>
              <w:rPr>
                <w:sz w:val="20"/>
              </w:rPr>
            </w:pPr>
            <w:r>
              <w:rPr>
                <w:sz w:val="20"/>
              </w:rPr>
              <w:t>ABN 57 565 205 148</w:t>
            </w:r>
          </w:p>
        </w:tc>
        <w:tc>
          <w:tcPr>
            <w:tcW w:w="2178" w:type="dxa"/>
          </w:tcPr>
          <w:p>
            <w:pPr>
              <w:pStyle w:val="TableParagraph"/>
              <w:spacing w:before="124"/>
              <w:ind w:left="105"/>
              <w:rPr>
                <w:sz w:val="20"/>
              </w:rPr>
            </w:pPr>
            <w:r>
              <w:rPr>
                <w:sz w:val="20"/>
              </w:rPr>
              <w:t>ABN 28 642 083 289</w:t>
            </w:r>
          </w:p>
        </w:tc>
        <w:tc>
          <w:tcPr>
            <w:tcW w:w="2751" w:type="dxa"/>
          </w:tcPr>
          <w:p>
            <w:pPr>
              <w:pStyle w:val="TableParagraph"/>
              <w:spacing w:before="124"/>
              <w:ind w:left="173"/>
              <w:rPr>
                <w:sz w:val="20"/>
              </w:rPr>
            </w:pPr>
            <w:r>
              <w:rPr>
                <w:sz w:val="20"/>
              </w:rPr>
              <w:t>ABN 38 104 153 700</w:t>
            </w:r>
          </w:p>
        </w:tc>
        <w:tc>
          <w:tcPr>
            <w:tcW w:w="2638" w:type="dxa"/>
          </w:tcPr>
          <w:p>
            <w:pPr>
              <w:pStyle w:val="TableParagraph"/>
              <w:spacing w:before="124"/>
              <w:ind w:left="57"/>
              <w:rPr>
                <w:sz w:val="20"/>
              </w:rPr>
            </w:pPr>
            <w:r>
              <w:rPr>
                <w:sz w:val="20"/>
              </w:rPr>
              <w:t>ABN 49 167 163 368</w:t>
            </w:r>
          </w:p>
        </w:tc>
      </w:tr>
      <w:tr>
        <w:trPr>
          <w:trHeight w:val="345" w:hRule="atLeast"/>
        </w:trPr>
        <w:tc>
          <w:tcPr>
            <w:tcW w:w="3477" w:type="dxa"/>
          </w:tcPr>
          <w:p>
            <w:pPr>
              <w:pStyle w:val="TableParagraph"/>
              <w:spacing w:line="214" w:lineRule="exact" w:before="111"/>
              <w:rPr>
                <w:sz w:val="20"/>
              </w:rPr>
            </w:pPr>
            <w:r>
              <w:rPr>
                <w:sz w:val="20"/>
              </w:rPr>
              <w:t>c/- Prestige Partners, Unit 12</w:t>
            </w:r>
          </w:p>
        </w:tc>
        <w:tc>
          <w:tcPr>
            <w:tcW w:w="2178" w:type="dxa"/>
          </w:tcPr>
          <w:p>
            <w:pPr>
              <w:pStyle w:val="TableParagraph"/>
              <w:spacing w:line="214" w:lineRule="exact" w:before="111"/>
              <w:ind w:left="105"/>
              <w:rPr>
                <w:sz w:val="20"/>
              </w:rPr>
            </w:pPr>
            <w:r>
              <w:rPr>
                <w:sz w:val="20"/>
              </w:rPr>
              <w:t>24 Silver Beach Road</w:t>
            </w:r>
          </w:p>
        </w:tc>
        <w:tc>
          <w:tcPr>
            <w:tcW w:w="2751" w:type="dxa"/>
          </w:tcPr>
          <w:p>
            <w:pPr>
              <w:pStyle w:val="TableParagraph"/>
              <w:spacing w:line="214" w:lineRule="exact" w:before="111"/>
              <w:ind w:left="139"/>
              <w:rPr>
                <w:sz w:val="20"/>
              </w:rPr>
            </w:pPr>
            <w:r>
              <w:rPr>
                <w:sz w:val="20"/>
              </w:rPr>
              <w:t>1/133-137 Beauchamp Road</w:t>
            </w:r>
          </w:p>
        </w:tc>
        <w:tc>
          <w:tcPr>
            <w:tcW w:w="2638" w:type="dxa"/>
          </w:tcPr>
          <w:p>
            <w:pPr>
              <w:pStyle w:val="TableParagraph"/>
              <w:spacing w:line="214" w:lineRule="exact" w:before="111"/>
              <w:ind w:left="57"/>
              <w:rPr>
                <w:sz w:val="20"/>
              </w:rPr>
            </w:pPr>
            <w:r>
              <w:rPr>
                <w:sz w:val="20"/>
              </w:rPr>
              <w:t>Suite F, 1 International Drive</w:t>
            </w:r>
          </w:p>
        </w:tc>
      </w:tr>
      <w:tr>
        <w:trPr>
          <w:trHeight w:val="573" w:hRule="atLeast"/>
        </w:trPr>
        <w:tc>
          <w:tcPr>
            <w:tcW w:w="3477" w:type="dxa"/>
          </w:tcPr>
          <w:p>
            <w:pPr>
              <w:pStyle w:val="TableParagraph"/>
              <w:spacing w:line="226" w:lineRule="exact"/>
              <w:rPr>
                <w:sz w:val="20"/>
              </w:rPr>
            </w:pPr>
            <w:r>
              <w:rPr>
                <w:sz w:val="20"/>
              </w:rPr>
              <w:t>63 Knutsford Avenue</w:t>
            </w:r>
          </w:p>
          <w:p>
            <w:pPr>
              <w:pStyle w:val="TableParagraph"/>
              <w:spacing w:line="229" w:lineRule="exact"/>
              <w:rPr>
                <w:sz w:val="20"/>
              </w:rPr>
            </w:pPr>
            <w:r>
              <w:rPr>
                <w:sz w:val="20"/>
              </w:rPr>
              <w:t>Rivervale WA 6103</w:t>
            </w:r>
          </w:p>
        </w:tc>
        <w:tc>
          <w:tcPr>
            <w:tcW w:w="2178" w:type="dxa"/>
          </w:tcPr>
          <w:p>
            <w:pPr>
              <w:pStyle w:val="TableParagraph"/>
              <w:spacing w:line="227" w:lineRule="exact"/>
              <w:ind w:left="105"/>
              <w:rPr>
                <w:sz w:val="20"/>
              </w:rPr>
            </w:pPr>
            <w:r>
              <w:rPr>
                <w:sz w:val="20"/>
              </w:rPr>
              <w:t>Kurnell NSW 2231</w:t>
            </w:r>
          </w:p>
        </w:tc>
        <w:tc>
          <w:tcPr>
            <w:tcW w:w="2751" w:type="dxa"/>
          </w:tcPr>
          <w:p>
            <w:pPr>
              <w:pStyle w:val="TableParagraph"/>
              <w:spacing w:line="227" w:lineRule="exact"/>
              <w:ind w:left="186"/>
              <w:rPr>
                <w:sz w:val="20"/>
              </w:rPr>
            </w:pPr>
            <w:r>
              <w:rPr>
                <w:sz w:val="20"/>
              </w:rPr>
              <w:t>Matraville NSW 2036</w:t>
            </w:r>
          </w:p>
        </w:tc>
        <w:tc>
          <w:tcPr>
            <w:tcW w:w="2638" w:type="dxa"/>
          </w:tcPr>
          <w:p>
            <w:pPr>
              <w:pStyle w:val="TableParagraph"/>
              <w:spacing w:line="227" w:lineRule="exact"/>
              <w:ind w:left="86"/>
              <w:rPr>
                <w:sz w:val="20"/>
              </w:rPr>
            </w:pPr>
            <w:r>
              <w:rPr>
                <w:sz w:val="20"/>
              </w:rPr>
              <w:t>Westmeadows VIC 3043</w:t>
            </w:r>
          </w:p>
        </w:tc>
      </w:tr>
      <w:tr>
        <w:trPr>
          <w:trHeight w:val="345" w:hRule="atLeast"/>
        </w:trPr>
        <w:tc>
          <w:tcPr>
            <w:tcW w:w="3477" w:type="dxa"/>
          </w:tcPr>
          <w:p>
            <w:pPr>
              <w:pStyle w:val="TableParagraph"/>
              <w:spacing w:line="214" w:lineRule="exact" w:before="112"/>
              <w:rPr>
                <w:sz w:val="20"/>
              </w:rPr>
            </w:pPr>
            <w:r>
              <w:rPr>
                <w:sz w:val="20"/>
                <w:u w:val="single"/>
              </w:rPr>
              <w:t>Person in Authority</w:t>
            </w:r>
          </w:p>
        </w:tc>
        <w:tc>
          <w:tcPr>
            <w:tcW w:w="2178" w:type="dxa"/>
          </w:tcPr>
          <w:p>
            <w:pPr>
              <w:pStyle w:val="TableParagraph"/>
              <w:spacing w:line="214" w:lineRule="exact" w:before="112"/>
              <w:ind w:left="105"/>
              <w:rPr>
                <w:sz w:val="20"/>
              </w:rPr>
            </w:pPr>
            <w:r>
              <w:rPr>
                <w:sz w:val="20"/>
                <w:u w:val="single"/>
              </w:rPr>
              <w:t>Person in Authority</w:t>
            </w:r>
          </w:p>
        </w:tc>
        <w:tc>
          <w:tcPr>
            <w:tcW w:w="2751" w:type="dxa"/>
          </w:tcPr>
          <w:p>
            <w:pPr>
              <w:pStyle w:val="TableParagraph"/>
              <w:spacing w:line="214" w:lineRule="exact" w:before="112"/>
              <w:ind w:left="143"/>
              <w:rPr>
                <w:sz w:val="20"/>
              </w:rPr>
            </w:pPr>
            <w:r>
              <w:rPr>
                <w:sz w:val="20"/>
                <w:u w:val="single"/>
              </w:rPr>
              <w:t>Person in Authority</w:t>
            </w:r>
          </w:p>
        </w:tc>
        <w:tc>
          <w:tcPr>
            <w:tcW w:w="2638" w:type="dxa"/>
          </w:tcPr>
          <w:p>
            <w:pPr>
              <w:pStyle w:val="TableParagraph"/>
              <w:spacing w:line="214" w:lineRule="exact" w:before="112"/>
              <w:ind w:left="106"/>
              <w:rPr>
                <w:sz w:val="20"/>
              </w:rPr>
            </w:pPr>
            <w:r>
              <w:rPr>
                <w:sz w:val="20"/>
                <w:u w:val="single"/>
              </w:rPr>
              <w:t>Person in Authority</w:t>
            </w:r>
          </w:p>
        </w:tc>
      </w:tr>
      <w:tr>
        <w:trPr>
          <w:trHeight w:val="344" w:hRule="atLeast"/>
        </w:trPr>
        <w:tc>
          <w:tcPr>
            <w:tcW w:w="3477" w:type="dxa"/>
          </w:tcPr>
          <w:p>
            <w:pPr>
              <w:pStyle w:val="TableParagraph"/>
              <w:spacing w:line="227" w:lineRule="exact"/>
              <w:rPr>
                <w:sz w:val="20"/>
              </w:rPr>
            </w:pPr>
            <w:r>
              <w:rPr>
                <w:sz w:val="20"/>
              </w:rPr>
              <w:t>Aaron Machner</w:t>
            </w:r>
          </w:p>
        </w:tc>
        <w:tc>
          <w:tcPr>
            <w:tcW w:w="2178" w:type="dxa"/>
          </w:tcPr>
          <w:p>
            <w:pPr>
              <w:pStyle w:val="TableParagraph"/>
              <w:spacing w:line="227" w:lineRule="exact"/>
              <w:ind w:left="105"/>
              <w:rPr>
                <w:sz w:val="20"/>
              </w:rPr>
            </w:pPr>
            <w:r>
              <w:rPr>
                <w:sz w:val="20"/>
              </w:rPr>
              <w:t>Paul Stringer</w:t>
            </w:r>
          </w:p>
        </w:tc>
        <w:tc>
          <w:tcPr>
            <w:tcW w:w="2751" w:type="dxa"/>
          </w:tcPr>
          <w:p>
            <w:pPr>
              <w:pStyle w:val="TableParagraph"/>
              <w:spacing w:line="227" w:lineRule="exact"/>
              <w:ind w:left="143"/>
              <w:rPr>
                <w:sz w:val="20"/>
              </w:rPr>
            </w:pPr>
            <w:r>
              <w:rPr>
                <w:sz w:val="20"/>
              </w:rPr>
              <w:t>Sigal Cohen</w:t>
            </w:r>
          </w:p>
        </w:tc>
        <w:tc>
          <w:tcPr>
            <w:tcW w:w="2638" w:type="dxa"/>
          </w:tcPr>
          <w:p>
            <w:pPr>
              <w:pStyle w:val="TableParagraph"/>
              <w:spacing w:line="227" w:lineRule="exact"/>
              <w:ind w:left="106"/>
              <w:rPr>
                <w:sz w:val="20"/>
              </w:rPr>
            </w:pPr>
            <w:r>
              <w:rPr>
                <w:sz w:val="20"/>
              </w:rPr>
              <w:t>Brook Capner</w:t>
            </w:r>
          </w:p>
        </w:tc>
      </w:tr>
      <w:tr>
        <w:trPr>
          <w:trHeight w:val="344" w:hRule="atLeast"/>
        </w:trPr>
        <w:tc>
          <w:tcPr>
            <w:tcW w:w="3477" w:type="dxa"/>
          </w:tcPr>
          <w:p>
            <w:pPr>
              <w:pStyle w:val="TableParagraph"/>
              <w:spacing w:line="214" w:lineRule="exact" w:before="110"/>
              <w:rPr>
                <w:sz w:val="20"/>
              </w:rPr>
            </w:pPr>
            <w:r>
              <w:rPr>
                <w:sz w:val="20"/>
                <w:u w:val="single"/>
              </w:rPr>
              <w:t>Nominee Broker</w:t>
            </w:r>
          </w:p>
        </w:tc>
        <w:tc>
          <w:tcPr>
            <w:tcW w:w="2178" w:type="dxa"/>
          </w:tcPr>
          <w:p>
            <w:pPr>
              <w:pStyle w:val="TableParagraph"/>
              <w:spacing w:line="214" w:lineRule="exact" w:before="110"/>
              <w:ind w:left="105"/>
              <w:rPr>
                <w:sz w:val="20"/>
              </w:rPr>
            </w:pPr>
            <w:r>
              <w:rPr>
                <w:sz w:val="20"/>
                <w:u w:val="single"/>
              </w:rPr>
              <w:t>Nominee Broker</w:t>
            </w:r>
          </w:p>
        </w:tc>
        <w:tc>
          <w:tcPr>
            <w:tcW w:w="2751" w:type="dxa"/>
          </w:tcPr>
          <w:p>
            <w:pPr>
              <w:pStyle w:val="TableParagraph"/>
              <w:spacing w:line="214" w:lineRule="exact" w:before="110"/>
              <w:ind w:left="143"/>
              <w:rPr>
                <w:sz w:val="20"/>
              </w:rPr>
            </w:pPr>
            <w:r>
              <w:rPr>
                <w:sz w:val="20"/>
                <w:u w:val="single"/>
              </w:rPr>
              <w:t>Nominee Broker</w:t>
            </w:r>
          </w:p>
        </w:tc>
        <w:tc>
          <w:tcPr>
            <w:tcW w:w="2638" w:type="dxa"/>
          </w:tcPr>
          <w:p>
            <w:pPr>
              <w:pStyle w:val="TableParagraph"/>
              <w:spacing w:line="214" w:lineRule="exact" w:before="110"/>
              <w:ind w:left="106"/>
              <w:rPr>
                <w:sz w:val="20"/>
              </w:rPr>
            </w:pPr>
            <w:r>
              <w:rPr>
                <w:sz w:val="20"/>
                <w:u w:val="single"/>
              </w:rPr>
              <w:t>Nominee Broker</w:t>
            </w:r>
          </w:p>
        </w:tc>
      </w:tr>
      <w:tr>
        <w:trPr>
          <w:trHeight w:val="459" w:hRule="atLeast"/>
        </w:trPr>
        <w:tc>
          <w:tcPr>
            <w:tcW w:w="3477" w:type="dxa"/>
          </w:tcPr>
          <w:p>
            <w:pPr>
              <w:pStyle w:val="TableParagraph"/>
              <w:spacing w:line="227" w:lineRule="exact"/>
              <w:rPr>
                <w:sz w:val="20"/>
              </w:rPr>
            </w:pPr>
            <w:r>
              <w:rPr>
                <w:sz w:val="20"/>
              </w:rPr>
              <w:t>Aaron Machner</w:t>
            </w:r>
          </w:p>
        </w:tc>
        <w:tc>
          <w:tcPr>
            <w:tcW w:w="2178" w:type="dxa"/>
          </w:tcPr>
          <w:p>
            <w:pPr>
              <w:pStyle w:val="TableParagraph"/>
              <w:spacing w:line="227" w:lineRule="exact"/>
              <w:ind w:left="105"/>
              <w:rPr>
                <w:sz w:val="20"/>
              </w:rPr>
            </w:pPr>
            <w:r>
              <w:rPr>
                <w:sz w:val="20"/>
              </w:rPr>
              <w:t>Paul Stringer</w:t>
            </w:r>
          </w:p>
        </w:tc>
        <w:tc>
          <w:tcPr>
            <w:tcW w:w="2751" w:type="dxa"/>
          </w:tcPr>
          <w:p>
            <w:pPr>
              <w:pStyle w:val="TableParagraph"/>
              <w:spacing w:line="227" w:lineRule="exact"/>
              <w:ind w:left="143"/>
              <w:rPr>
                <w:sz w:val="20"/>
              </w:rPr>
            </w:pPr>
            <w:r>
              <w:rPr>
                <w:sz w:val="20"/>
              </w:rPr>
              <w:t>Leon Zaferis</w:t>
            </w:r>
          </w:p>
        </w:tc>
        <w:tc>
          <w:tcPr>
            <w:tcW w:w="2638" w:type="dxa"/>
          </w:tcPr>
          <w:p>
            <w:pPr>
              <w:pStyle w:val="TableParagraph"/>
              <w:spacing w:line="227" w:lineRule="exact"/>
              <w:ind w:left="106"/>
              <w:rPr>
                <w:sz w:val="20"/>
              </w:rPr>
            </w:pPr>
            <w:r>
              <w:rPr>
                <w:sz w:val="20"/>
              </w:rPr>
              <w:t>Craig Stevenson</w:t>
            </w:r>
          </w:p>
        </w:tc>
      </w:tr>
      <w:tr>
        <w:trPr>
          <w:trHeight w:val="688" w:hRule="atLeast"/>
        </w:trPr>
        <w:tc>
          <w:tcPr>
            <w:tcW w:w="3477" w:type="dxa"/>
          </w:tcPr>
          <w:p>
            <w:pPr>
              <w:pStyle w:val="TableParagraph"/>
              <w:spacing w:before="7"/>
              <w:ind w:left="0"/>
              <w:rPr>
                <w:sz w:val="19"/>
              </w:rPr>
            </w:pPr>
          </w:p>
          <w:p>
            <w:pPr>
              <w:pStyle w:val="TableParagraph"/>
              <w:rPr>
                <w:b/>
                <w:sz w:val="20"/>
              </w:rPr>
            </w:pPr>
            <w:r>
              <w:rPr>
                <w:b/>
                <w:sz w:val="20"/>
              </w:rPr>
              <w:t>INDIVIDUAL:</w:t>
            </w:r>
          </w:p>
          <w:p>
            <w:pPr>
              <w:pStyle w:val="TableParagraph"/>
              <w:spacing w:line="210" w:lineRule="exact" w:before="3"/>
              <w:rPr>
                <w:sz w:val="20"/>
              </w:rPr>
            </w:pPr>
            <w:r>
              <w:rPr>
                <w:sz w:val="20"/>
              </w:rPr>
              <w:t>Lei Chen</w:t>
            </w:r>
          </w:p>
        </w:tc>
        <w:tc>
          <w:tcPr>
            <w:tcW w:w="2178" w:type="dxa"/>
          </w:tcPr>
          <w:p>
            <w:pPr>
              <w:pStyle w:val="TableParagraph"/>
              <w:ind w:left="0"/>
              <w:rPr>
                <w:rFonts w:ascii="Times New Roman"/>
                <w:sz w:val="20"/>
              </w:rPr>
            </w:pPr>
          </w:p>
        </w:tc>
        <w:tc>
          <w:tcPr>
            <w:tcW w:w="2751" w:type="dxa"/>
          </w:tcPr>
          <w:p>
            <w:pPr>
              <w:pStyle w:val="TableParagraph"/>
              <w:ind w:left="0"/>
              <w:rPr>
                <w:rFonts w:ascii="Times New Roman"/>
                <w:sz w:val="20"/>
              </w:rPr>
            </w:pPr>
          </w:p>
        </w:tc>
        <w:tc>
          <w:tcPr>
            <w:tcW w:w="2638" w:type="dxa"/>
          </w:tcPr>
          <w:p>
            <w:pPr>
              <w:pStyle w:val="TableParagraph"/>
              <w:ind w:left="0"/>
              <w:rPr>
                <w:rFonts w:ascii="Times New Roman"/>
                <w:sz w:val="20"/>
              </w:rPr>
            </w:pPr>
          </w:p>
        </w:tc>
      </w:tr>
    </w:tbl>
    <w:p>
      <w:pPr>
        <w:pStyle w:val="BodyText"/>
        <w:spacing w:before="10"/>
        <w:rPr>
          <w:sz w:val="19"/>
        </w:rPr>
      </w:pPr>
    </w:p>
    <w:p>
      <w:pPr>
        <w:pStyle w:val="BodyText"/>
        <w:ind w:left="424" w:right="448"/>
      </w:pPr>
      <w:r>
        <w:rPr/>
        <w:t>Any person wishing to make written representation in respect of any of these applicants should address the correspondence, by 16 September 2020, to:</w:t>
      </w:r>
    </w:p>
    <w:p>
      <w:pPr>
        <w:pStyle w:val="BodyText"/>
        <w:spacing w:before="1"/>
      </w:pPr>
    </w:p>
    <w:p>
      <w:pPr>
        <w:pStyle w:val="BodyText"/>
        <w:ind w:left="424"/>
      </w:pPr>
      <w:r>
        <w:rPr/>
        <w:t>Broker Licensing</w:t>
      </w:r>
    </w:p>
    <w:p>
      <w:pPr>
        <w:pStyle w:val="BodyText"/>
        <w:tabs>
          <w:tab w:pos="6172" w:val="left" w:leader="none"/>
        </w:tabs>
        <w:spacing w:line="229" w:lineRule="exact"/>
        <w:ind w:left="424"/>
      </w:pPr>
      <w:r>
        <w:rPr/>
        <w:t>Australian</w:t>
      </w:r>
      <w:r>
        <w:rPr>
          <w:spacing w:val="-4"/>
        </w:rPr>
        <w:t> </w:t>
      </w:r>
      <w:r>
        <w:rPr/>
        <w:t>Border</w:t>
      </w:r>
      <w:r>
        <w:rPr>
          <w:spacing w:val="-3"/>
        </w:rPr>
        <w:t> </w:t>
      </w:r>
      <w:r>
        <w:rPr/>
        <w:t>Force</w:t>
        <w:tab/>
        <w:t>Or email:</w:t>
      </w:r>
    </w:p>
    <w:p>
      <w:pPr>
        <w:pStyle w:val="BodyText"/>
        <w:tabs>
          <w:tab w:pos="6172" w:val="left" w:leader="none"/>
        </w:tabs>
        <w:spacing w:line="229" w:lineRule="exact"/>
        <w:ind w:left="424"/>
      </w:pPr>
      <w:r>
        <w:rPr/>
        <w:t>3</w:t>
      </w:r>
      <w:r>
        <w:rPr>
          <w:spacing w:val="-3"/>
        </w:rPr>
        <w:t> </w:t>
      </w:r>
      <w:r>
        <w:rPr/>
        <w:t>Molonglo</w:t>
      </w:r>
      <w:r>
        <w:rPr>
          <w:spacing w:val="-2"/>
        </w:rPr>
        <w:t> </w:t>
      </w:r>
      <w:r>
        <w:rPr/>
        <w:t>Drive</w:t>
        <w:tab/>
      </w:r>
      <w:hyperlink r:id="rId6">
        <w:r>
          <w:rPr>
            <w:u w:val="single"/>
          </w:rPr>
          <w:t>brokers.licensing@abf.gov.au</w:t>
        </w:r>
      </w:hyperlink>
    </w:p>
    <w:p>
      <w:pPr>
        <w:pStyle w:val="BodyText"/>
        <w:spacing w:before="1"/>
        <w:ind w:left="424" w:right="9398"/>
      </w:pPr>
      <w:r>
        <w:rPr/>
        <w:t>Canberra Airport CANBERRA ACT 2609</w:t>
      </w:r>
    </w:p>
    <w:p>
      <w:pPr>
        <w:pStyle w:val="BodyText"/>
        <w:spacing w:before="1"/>
      </w:pPr>
    </w:p>
    <w:p>
      <w:pPr>
        <w:pStyle w:val="BodyText"/>
        <w:ind w:left="424" w:right="114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424"/>
      </w:pPr>
      <w:r>
        <w:rPr/>
        <w:t>[SIGNED]</w:t>
      </w:r>
    </w:p>
    <w:p>
      <w:pPr>
        <w:pStyle w:val="BodyText"/>
      </w:pPr>
    </w:p>
    <w:p>
      <w:pPr>
        <w:pStyle w:val="BodyText"/>
        <w:spacing w:line="229" w:lineRule="exact" w:before="1"/>
        <w:ind w:left="424"/>
      </w:pPr>
      <w:r>
        <w:rPr/>
        <w:t>Steve Moore</w:t>
      </w:r>
    </w:p>
    <w:p>
      <w:pPr>
        <w:pStyle w:val="BodyText"/>
        <w:spacing w:line="229" w:lineRule="exact"/>
        <w:ind w:left="424"/>
      </w:pPr>
      <w:r>
        <w:rPr/>
        <w:t>Director, Customs Licensing</w:t>
      </w:r>
    </w:p>
    <w:p>
      <w:pPr>
        <w:pStyle w:val="BodyText"/>
        <w:ind w:left="424" w:right="5811"/>
      </w:pPr>
      <w:r>
        <w:rPr/>
        <w:t>Trusted Trader and Trade Compliance Branch | Customs Group Australian Border Force</w:t>
      </w:r>
    </w:p>
    <w:p>
      <w:pPr>
        <w:pStyle w:val="BodyText"/>
        <w:spacing w:before="1"/>
        <w:ind w:left="424"/>
      </w:pPr>
      <w:r>
        <w:rPr/>
        <w:t>CANBERRA ACT</w:t>
      </w:r>
    </w:p>
    <w:p>
      <w:pPr>
        <w:pStyle w:val="BodyText"/>
        <w:ind w:left="424"/>
      </w:pPr>
      <w:r>
        <w:rPr/>
        <w:t>31 August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5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2020/38</dc:title>
  <dcterms:created xsi:type="dcterms:W3CDTF">2020-12-09T23:15:43Z</dcterms:created>
  <dcterms:modified xsi:type="dcterms:W3CDTF">2020-12-09T23:15:43Z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Power PDF Create</vt:lpwstr>
  </property>
  <property fmtid="{D5CDD505-2E9C-101B-9397-08002B2CF9AE}" pid="4" name="LastSaved">
    <vt:filetime>2020-12-09T00:00:00Z</vt:filetime>
  </property>
</Properties>
</file>