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36</w:t>
      </w:r>
    </w:p>
    <w:p>
      <w:pPr>
        <w:spacing w:before="390"/>
        <w:ind w:left="100" w:right="0" w:firstLine="0"/>
        <w:jc w:val="left"/>
        <w:rPr>
          <w:b/>
          <w:sz w:val="36"/>
        </w:rPr>
      </w:pPr>
      <w:r>
        <w:rPr>
          <w:b/>
          <w:color w:val="202020"/>
          <w:sz w:val="36"/>
        </w:rPr>
        <w:t>BRANCH NAME CHANGES</w:t>
      </w:r>
    </w:p>
    <w:p>
      <w:pPr>
        <w:pStyle w:val="BodyText"/>
        <w:spacing w:before="282"/>
        <w:ind w:left="100" w:right="351"/>
      </w:pPr>
      <w:r>
        <w:rPr/>
        <w:t>This Australian Customs Notice (ACN) provides advice about the name changes of two Branches within the Australian Customs Service.</w:t>
      </w:r>
    </w:p>
    <w:p>
      <w:pPr>
        <w:pStyle w:val="BodyText"/>
        <w:rPr>
          <w:sz w:val="18"/>
        </w:rPr>
      </w:pPr>
    </w:p>
    <w:p>
      <w:pPr>
        <w:pStyle w:val="Heading1"/>
        <w:spacing w:before="0"/>
      </w:pPr>
      <w:r>
        <w:rPr/>
        <w:t>Commercial Compliance</w:t>
      </w:r>
    </w:p>
    <w:p>
      <w:pPr>
        <w:pStyle w:val="BodyText"/>
        <w:spacing w:before="1"/>
        <w:rPr>
          <w:b/>
          <w:sz w:val="18"/>
        </w:rPr>
      </w:pPr>
    </w:p>
    <w:p>
      <w:pPr>
        <w:pStyle w:val="BodyText"/>
        <w:ind w:left="100"/>
      </w:pPr>
      <w:r>
        <w:rPr/>
        <w:t>The Compliance Improvement Branch in Central Office and regional Compliance Improvement units have now been renamed "Commercial Compliance".</w:t>
      </w:r>
    </w:p>
    <w:p>
      <w:pPr>
        <w:pStyle w:val="BodyText"/>
        <w:rPr>
          <w:sz w:val="18"/>
        </w:rPr>
      </w:pPr>
    </w:p>
    <w:p>
      <w:pPr>
        <w:pStyle w:val="BodyText"/>
        <w:ind w:left="100" w:right="106"/>
      </w:pPr>
      <w:r>
        <w:rPr/>
        <w:t>The new title more clearly conveys the responsibilities of this Branch but does not detract from the compliance improvement philosophy which Customs will continue to pursue.</w:t>
      </w:r>
    </w:p>
    <w:p>
      <w:pPr>
        <w:pStyle w:val="BodyText"/>
        <w:rPr>
          <w:sz w:val="18"/>
        </w:rPr>
      </w:pPr>
    </w:p>
    <w:p>
      <w:pPr>
        <w:pStyle w:val="Heading1"/>
      </w:pPr>
      <w:r>
        <w:rPr/>
        <w:t>Border Operations</w:t>
      </w:r>
    </w:p>
    <w:p>
      <w:pPr>
        <w:pStyle w:val="BodyText"/>
        <w:spacing w:before="1"/>
        <w:rPr>
          <w:b/>
          <w:sz w:val="18"/>
        </w:rPr>
      </w:pPr>
    </w:p>
    <w:p>
      <w:pPr>
        <w:pStyle w:val="BodyText"/>
        <w:ind w:left="100"/>
      </w:pPr>
      <w:r>
        <w:rPr/>
        <w:t>The Border Administration Branch has now been renamed "Border Operations."</w:t>
      </w:r>
    </w:p>
    <w:p>
      <w:pPr>
        <w:pStyle w:val="BodyText"/>
        <w:spacing w:before="1"/>
        <w:rPr>
          <w:sz w:val="18"/>
        </w:rPr>
      </w:pPr>
    </w:p>
    <w:p>
      <w:pPr>
        <w:pStyle w:val="BodyText"/>
        <w:spacing w:before="1"/>
        <w:ind w:left="100" w:right="392"/>
        <w:jc w:val="both"/>
      </w:pPr>
      <w:r>
        <w:rPr/>
        <w:t>The new title is designed to highlight the border activity itself. The focus of Branch staff and management is directed towards outcomes that identify risks requiring an active operational response rather than a passive control or administrative approach.</w:t>
      </w:r>
    </w:p>
    <w:p>
      <w:pPr>
        <w:pStyle w:val="BodyText"/>
        <w:spacing w:before="9"/>
        <w:rPr>
          <w:sz w:val="17"/>
        </w:rPr>
      </w:pPr>
    </w:p>
    <w:p>
      <w:pPr>
        <w:pStyle w:val="Heading1"/>
        <w:jc w:val="both"/>
      </w:pPr>
      <w:r>
        <w:rPr/>
        <w:t>Structure Chart</w:t>
      </w:r>
    </w:p>
    <w:p>
      <w:pPr>
        <w:pStyle w:val="BodyText"/>
        <w:spacing w:before="1"/>
        <w:rPr>
          <w:b/>
          <w:sz w:val="18"/>
        </w:rPr>
      </w:pPr>
    </w:p>
    <w:p>
      <w:pPr>
        <w:spacing w:line="446" w:lineRule="auto" w:before="0"/>
        <w:ind w:left="100" w:right="5428" w:firstLine="0"/>
        <w:jc w:val="left"/>
        <w:rPr>
          <w:b/>
          <w:sz w:val="21"/>
        </w:rPr>
      </w:pPr>
      <w:r>
        <w:rPr>
          <w:sz w:val="21"/>
        </w:rPr>
        <w:t>A revised </w:t>
      </w:r>
      <w:r>
        <w:rPr>
          <w:spacing w:val="-8"/>
          <w:sz w:val="21"/>
        </w:rPr>
        <w:t>Top </w:t>
      </w:r>
      <w:r>
        <w:rPr>
          <w:sz w:val="21"/>
        </w:rPr>
        <w:t>Structure Chart is </w:t>
      </w:r>
      <w:r>
        <w:rPr>
          <w:spacing w:val="-6"/>
          <w:sz w:val="21"/>
        </w:rPr>
        <w:t>ATTACHED. </w:t>
      </w:r>
      <w:r>
        <w:rPr>
          <w:b/>
          <w:sz w:val="21"/>
        </w:rPr>
        <w:t>Contact Officers:</w:t>
      </w:r>
    </w:p>
    <w:p>
      <w:pPr>
        <w:spacing w:before="2"/>
        <w:ind w:left="100" w:right="7887" w:firstLine="0"/>
        <w:jc w:val="left"/>
        <w:rPr>
          <w:sz w:val="21"/>
        </w:rPr>
      </w:pPr>
      <w:r>
        <w:rPr>
          <w:sz w:val="21"/>
        </w:rPr>
        <w:t>David Widdowson National Manager </w:t>
      </w:r>
      <w:r>
        <w:rPr>
          <w:b/>
          <w:sz w:val="21"/>
        </w:rPr>
        <w:t>Commercial Compliance </w:t>
      </w:r>
      <w:r>
        <w:rPr>
          <w:spacing w:val="-6"/>
          <w:sz w:val="21"/>
        </w:rPr>
        <w:t>Tel: </w:t>
      </w:r>
      <w:r>
        <w:rPr>
          <w:sz w:val="21"/>
        </w:rPr>
        <w:t>(06) 275</w:t>
      </w:r>
      <w:r>
        <w:rPr>
          <w:spacing w:val="6"/>
          <w:sz w:val="21"/>
        </w:rPr>
        <w:t> </w:t>
      </w:r>
      <w:r>
        <w:rPr>
          <w:sz w:val="21"/>
        </w:rPr>
        <w:t>6195</w:t>
      </w:r>
    </w:p>
    <w:p>
      <w:pPr>
        <w:pStyle w:val="BodyText"/>
        <w:spacing w:before="8"/>
        <w:rPr>
          <w:sz w:val="17"/>
        </w:rPr>
      </w:pPr>
    </w:p>
    <w:p>
      <w:pPr>
        <w:spacing w:before="1"/>
        <w:ind w:left="100" w:right="8464" w:firstLine="0"/>
        <w:jc w:val="left"/>
        <w:rPr>
          <w:sz w:val="21"/>
        </w:rPr>
      </w:pPr>
      <w:r>
        <w:rPr>
          <w:sz w:val="21"/>
        </w:rPr>
        <w:t>Peter English National Manager </w:t>
      </w:r>
      <w:r>
        <w:rPr>
          <w:b/>
          <w:sz w:val="21"/>
        </w:rPr>
        <w:t>Border Operations </w:t>
      </w:r>
      <w:r>
        <w:rPr>
          <w:spacing w:val="-6"/>
          <w:sz w:val="21"/>
        </w:rPr>
        <w:t>Tel: </w:t>
      </w:r>
      <w:r>
        <w:rPr>
          <w:sz w:val="21"/>
        </w:rPr>
        <w:t>(06) 275</w:t>
      </w:r>
      <w:r>
        <w:rPr>
          <w:spacing w:val="6"/>
          <w:sz w:val="21"/>
        </w:rPr>
        <w:t> </w:t>
      </w:r>
      <w:r>
        <w:rPr>
          <w:sz w:val="21"/>
        </w:rPr>
        <w:t>6087</w:t>
      </w:r>
    </w:p>
    <w:p>
      <w:pPr>
        <w:pStyle w:val="BodyText"/>
        <w:spacing w:before="8"/>
        <w:rPr>
          <w:sz w:val="17"/>
        </w:rPr>
      </w:pPr>
    </w:p>
    <w:p>
      <w:pPr>
        <w:pStyle w:val="BodyText"/>
        <w:spacing w:line="241" w:lineRule="exact"/>
        <w:ind w:left="100"/>
      </w:pPr>
      <w:r>
        <w:rPr/>
        <w:t>Brian Gallagher</w:t>
      </w:r>
    </w:p>
    <w:p>
      <w:pPr>
        <w:pStyle w:val="BodyText"/>
        <w:spacing w:line="446" w:lineRule="auto"/>
        <w:ind w:left="100" w:right="7158"/>
      </w:pPr>
      <w:r>
        <w:rPr/>
        <w:t>for CHIEF EXECUTIVE OFFICER CANBERRA ACT 2601</w:t>
      </w:r>
    </w:p>
    <w:p>
      <w:pPr>
        <w:pStyle w:val="BodyText"/>
        <w:spacing w:before="1"/>
        <w:ind w:left="100"/>
        <w:jc w:val="both"/>
      </w:pPr>
      <w:r>
        <w:rPr/>
        <w:t>8 August 1996</w:t>
      </w:r>
    </w:p>
    <w:sectPr>
      <w:type w:val="continuous"/>
      <w:pgSz w:w="11900" w:h="16840"/>
      <w:pgMar w:top="700" w:bottom="280" w:left="6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spacing w:before="1"/>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2020-12-09T22:37:59Z</dcterms:created>
  <dcterms:modified xsi:type="dcterms:W3CDTF">2020-12-09T22:37:59Z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