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46</w:t>
      </w:r>
    </w:p>
    <w:p>
      <w:pPr>
        <w:spacing w:line="312" w:lineRule="auto" w:before="390"/>
        <w:ind w:left="100" w:right="259" w:firstLine="0"/>
        <w:jc w:val="left"/>
        <w:rPr>
          <w:b/>
          <w:sz w:val="36"/>
        </w:rPr>
      </w:pPr>
      <w:r>
        <w:rPr>
          <w:b/>
          <w:color w:val="202020"/>
          <w:sz w:val="36"/>
        </w:rPr>
        <w:t>NOTICES OF OBJECTION TO IMPORTATION TRADE MARKS ACT 1995</w:t>
      </w:r>
    </w:p>
    <w:p>
      <w:pPr>
        <w:pStyle w:val="BodyText"/>
        <w:spacing w:before="159"/>
        <w:ind w:right="88"/>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9"/>
        <w:ind w:left="0"/>
        <w:rPr>
          <w:sz w:val="17"/>
        </w:rPr>
      </w:pPr>
    </w:p>
    <w:p>
      <w:pPr>
        <w:pStyle w:val="BodyText"/>
        <w:ind w:right="262"/>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3"/>
        <w:ind w:left="0"/>
        <w:rPr>
          <w:sz w:val="17"/>
        </w:rPr>
      </w:pPr>
    </w:p>
    <w:p>
      <w:pPr>
        <w:pStyle w:val="BodyText"/>
        <w:ind w:right="706"/>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10"/>
        <w:ind w:left="0"/>
        <w:rPr>
          <w:sz w:val="17"/>
        </w:rPr>
      </w:pPr>
    </w:p>
    <w:p>
      <w:pPr>
        <w:pStyle w:val="BodyText"/>
        <w:spacing w:line="446" w:lineRule="auto"/>
        <w:ind w:right="1709"/>
      </w:pPr>
      <w:r>
        <w:rPr/>
        <w:t>the goods are being imported otherwise than for the purposes of trade (sale, lease, hire, etc.); or the goods do not infringe the relevant trade mark.</w:t>
      </w:r>
    </w:p>
    <w:p>
      <w:pPr>
        <w:pStyle w:val="BodyText"/>
        <w:spacing w:before="2"/>
        <w:ind w:right="88"/>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9"/>
        <w:ind w:left="0"/>
        <w:rPr>
          <w:sz w:val="17"/>
        </w:rPr>
      </w:pPr>
    </w:p>
    <w:p>
      <w:pPr>
        <w:pStyle w:val="BodyText"/>
        <w:spacing w:before="1"/>
        <w:ind w:right="110"/>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w:t>
      </w:r>
    </w:p>
    <w:p>
      <w:pPr>
        <w:pStyle w:val="BodyText"/>
        <w:spacing w:before="5"/>
        <w:ind w:left="0"/>
        <w:rPr>
          <w:sz w:val="17"/>
        </w:rPr>
      </w:pPr>
    </w:p>
    <w:p>
      <w:pPr>
        <w:pStyle w:val="BodyText"/>
      </w:pPr>
      <w:r>
        <w:rPr/>
        <w:t>Copies of the relevant Notices of Objection have been forwarded to the Customs office in the capital city of each State and Territory.</w:t>
      </w:r>
    </w:p>
    <w:p>
      <w:pPr>
        <w:pStyle w:val="BodyText"/>
        <w:ind w:left="0"/>
        <w:rPr>
          <w:sz w:val="18"/>
        </w:rPr>
      </w:pPr>
    </w:p>
    <w:p>
      <w:pPr>
        <w:pStyle w:val="BodyText"/>
        <w:ind w:right="293"/>
      </w:pPr>
      <w:r>
        <w:rPr/>
        <w:t>Importers, or their advisers, who require further information regarding the Notices of Objection, or Customs' role in regard to those Notices, should contact the Commerce Prohibitions and Restrictions Group in the Australian Customs Service Office in their nearest capital city.</w:t>
      </w:r>
    </w:p>
    <w:p>
      <w:pPr>
        <w:pStyle w:val="BodyText"/>
        <w:spacing w:before="10"/>
        <w:ind w:left="0"/>
        <w:rPr>
          <w:sz w:val="17"/>
        </w:rPr>
      </w:pPr>
    </w:p>
    <w:p>
      <w:pPr>
        <w:pStyle w:val="BodyText"/>
        <w:spacing w:line="241" w:lineRule="exact"/>
      </w:pPr>
      <w:r>
        <w:rPr/>
        <w:t>(J.M. Drury)</w:t>
      </w:r>
    </w:p>
    <w:p>
      <w:pPr>
        <w:pStyle w:val="BodyText"/>
        <w:spacing w:line="446" w:lineRule="auto"/>
        <w:ind w:right="7703"/>
      </w:pPr>
      <w:r>
        <w:rPr/>
        <w:t>Deputy Chief Executive Officer 8 October 1996</w:t>
      </w:r>
    </w:p>
    <w:p>
      <w:pPr>
        <w:pStyle w:val="BodyText"/>
        <w:spacing w:before="1"/>
      </w:pPr>
      <w:r>
        <w:rPr/>
        <w:t>(Cargo Facilitation : C96/03183</w:t>
      </w:r>
    </w:p>
    <w:p>
      <w:pPr>
        <w:pStyle w:val="BodyText"/>
        <w:spacing w:before="8"/>
        <w:ind w:left="0"/>
        <w:rPr>
          <w:sz w:val="9"/>
        </w:rPr>
      </w:pPr>
      <w:r>
        <w:rPr/>
        <w:pict>
          <v:rect style="position:absolute;margin-left:35pt;margin-top:7.556079pt;width:528pt;height:.75pt;mso-position-horizontal-relative:page;mso-position-vertical-relative:paragraph;z-index:-15728640;mso-wrap-distance-left:0;mso-wrap-distance-right:0" filled="true" fillcolor="#ededed" stroked="false">
            <v:fill type="solid"/>
            <w10:wrap type="topAndBottom"/>
          </v:rect>
        </w:pict>
      </w:r>
    </w:p>
    <w:p>
      <w:pPr>
        <w:spacing w:before="179"/>
        <w:ind w:left="100" w:right="0" w:firstLine="0"/>
        <w:jc w:val="left"/>
        <w:rPr>
          <w:b/>
          <w:sz w:val="21"/>
        </w:rPr>
      </w:pPr>
      <w:r>
        <w:rPr>
          <w:b/>
          <w:sz w:val="21"/>
        </w:rPr>
        <w:t>ERRATUM - </w:t>
      </w:r>
      <w:hyperlink r:id="rId5">
        <w:r>
          <w:rPr>
            <w:b/>
            <w:color w:val="0F64C7"/>
            <w:sz w:val="21"/>
          </w:rPr>
          <w:t>ACN No. 96/41</w:t>
        </w:r>
      </w:hyperlink>
    </w:p>
    <w:p>
      <w:pPr>
        <w:pStyle w:val="BodyText"/>
        <w:spacing w:before="1"/>
        <w:ind w:left="0"/>
        <w:rPr>
          <w:b/>
          <w:sz w:val="18"/>
        </w:rPr>
      </w:pPr>
    </w:p>
    <w:p>
      <w:pPr>
        <w:spacing w:line="446" w:lineRule="auto" w:before="0"/>
        <w:ind w:left="100" w:right="2295" w:firstLine="0"/>
        <w:jc w:val="left"/>
        <w:rPr>
          <w:sz w:val="21"/>
        </w:rPr>
      </w:pPr>
      <w:r>
        <w:rPr>
          <w:sz w:val="21"/>
        </w:rPr>
        <w:t>Commencement Date for trademark enforcement for </w:t>
      </w:r>
      <w:r>
        <w:rPr>
          <w:b/>
          <w:sz w:val="21"/>
        </w:rPr>
        <w:t>Flox Wines and Spirits </w:t>
      </w:r>
      <w:r>
        <w:rPr>
          <w:sz w:val="21"/>
        </w:rPr>
        <w:t>should read "20 May 1996".</w:t>
      </w:r>
    </w:p>
    <w:p>
      <w:pPr>
        <w:spacing w:line="241" w:lineRule="exact" w:before="2"/>
        <w:ind w:left="100" w:right="0" w:firstLine="0"/>
        <w:jc w:val="left"/>
        <w:rPr>
          <w:sz w:val="21"/>
        </w:rPr>
      </w:pPr>
      <w:r>
        <w:rPr>
          <w:sz w:val="21"/>
        </w:rPr>
        <w:t>Description of Goods for </w:t>
      </w:r>
      <w:r>
        <w:rPr>
          <w:b/>
          <w:sz w:val="21"/>
        </w:rPr>
        <w:t>Smithkline Beecham </w:t>
      </w:r>
      <w:r>
        <w:rPr>
          <w:sz w:val="21"/>
        </w:rPr>
        <w:t>should read "</w:t>
      </w:r>
    </w:p>
    <w:p>
      <w:pPr>
        <w:pStyle w:val="BodyText"/>
      </w:pPr>
      <w:r>
        <w:rPr/>
        <w:t>Class 3 : Perfumery including toilet articles, preparations for the teeth and hair, common soap, detergents, oils included in this class, starch, blue and other laundry preparations included in this class".</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2020-12-09T22:21:45Z</dcterms:created>
  <dcterms:modified xsi:type="dcterms:W3CDTF">2020-12-09T22:21:45Z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