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54</w:t>
      </w:r>
    </w:p>
    <w:p>
      <w:pPr>
        <w:spacing w:line="312" w:lineRule="auto" w:before="390"/>
        <w:ind w:left="100" w:right="1479" w:firstLine="0"/>
        <w:jc w:val="left"/>
        <w:rPr>
          <w:b/>
          <w:sz w:val="36"/>
        </w:rPr>
      </w:pPr>
      <w:r>
        <w:rPr>
          <w:b/>
          <w:color w:val="202020"/>
          <w:sz w:val="36"/>
        </w:rPr>
        <w:t>OPTIONAL PORT OF PAYMENT FOR COMPILE CASH ENTRIES</w:t>
      </w:r>
    </w:p>
    <w:p>
      <w:pPr>
        <w:pStyle w:val="BodyText"/>
        <w:spacing w:before="159"/>
      </w:pPr>
      <w:r>
        <w:rPr/>
        <w:t>The Australian Customs Service (ACS) has recently reviewed the policy on payment of COMPILE CASH entries.</w:t>
      </w:r>
    </w:p>
    <w:p>
      <w:pPr>
        <w:pStyle w:val="BodyText"/>
        <w:spacing w:before="2"/>
        <w:ind w:left="0"/>
        <w:rPr>
          <w:sz w:val="18"/>
        </w:rPr>
      </w:pPr>
    </w:p>
    <w:p>
      <w:pPr>
        <w:pStyle w:val="BodyText"/>
        <w:ind w:right="92"/>
      </w:pPr>
      <w:r>
        <w:rPr/>
        <w:t>At the time when Optional Port of Lodgement (OPL) was introduced there was a distinction made regarding the payment of OPL entries. COMPILE EFT entries were able to be paid from any site Australia wide while COMPILE CASH entries were required to be paid at the Port of Discharge.</w:t>
      </w:r>
    </w:p>
    <w:p>
      <w:pPr>
        <w:pStyle w:val="BodyText"/>
        <w:spacing w:before="10"/>
        <w:ind w:left="0"/>
        <w:rPr>
          <w:sz w:val="17"/>
        </w:rPr>
      </w:pPr>
    </w:p>
    <w:p>
      <w:pPr>
        <w:pStyle w:val="BodyText"/>
        <w:ind w:right="196"/>
      </w:pPr>
      <w:r>
        <w:rPr/>
        <w:t>A number of recent instances have prompted the ACS to review the treatment of COMPILE CASH entries where the port of payment will be treated the same as COMPILE EFT entries for clearance purposes. </w:t>
      </w:r>
      <w:r>
        <w:rPr>
          <w:b/>
        </w:rPr>
        <w:t>Manual </w:t>
      </w:r>
      <w:r>
        <w:rPr/>
        <w:t>entries will however need to be paid at the Port of Discharge in line with current agreed practices.</w:t>
      </w:r>
    </w:p>
    <w:p>
      <w:pPr>
        <w:pStyle w:val="BodyText"/>
        <w:spacing w:line="450" w:lineRule="exact" w:before="43"/>
        <w:ind w:right="161"/>
      </w:pPr>
      <w:r>
        <w:rPr/>
        <w:t>As of 25 November 1996 </w:t>
      </w:r>
      <w:r>
        <w:rPr>
          <w:b/>
        </w:rPr>
        <w:t>allCOMPILE </w:t>
      </w:r>
      <w:r>
        <w:rPr/>
        <w:t>entries (EFT and CASH) will be able to be paid at any port Australia wide. If you require further information, please contact Peter Johnson, Director Entry Applications on 06-275 6867. (C.F. VASSAROTTI)</w:t>
      </w:r>
    </w:p>
    <w:p>
      <w:pPr>
        <w:pStyle w:val="BodyText"/>
        <w:spacing w:line="194" w:lineRule="exact"/>
      </w:pPr>
      <w:r>
        <w:rPr/>
        <w:t>National Director</w:t>
      </w:r>
    </w:p>
    <w:p>
      <w:pPr>
        <w:pStyle w:val="BodyText"/>
        <w:spacing w:line="240" w:lineRule="exact"/>
      </w:pPr>
      <w:r>
        <w:rPr/>
        <w:t>Commercial Services</w:t>
      </w:r>
    </w:p>
    <w:p>
      <w:pPr>
        <w:pStyle w:val="BodyText"/>
        <w:ind w:right="7458"/>
      </w:pPr>
      <w:r>
        <w:rPr/>
        <w:t>for CHIEF EXECUTIVE OFFICER CANBERRA ACT</w:t>
      </w:r>
    </w:p>
    <w:p>
      <w:pPr>
        <w:pStyle w:val="BodyText"/>
        <w:spacing w:before="10"/>
        <w:ind w:left="0"/>
        <w:rPr>
          <w:sz w:val="17"/>
        </w:rPr>
      </w:pPr>
    </w:p>
    <w:p>
      <w:pPr>
        <w:pStyle w:val="BodyText"/>
      </w:pPr>
      <w:r>
        <w:rPr/>
        <w:t>November 1996</w:t>
      </w:r>
    </w:p>
    <w:p>
      <w:pPr>
        <w:pStyle w:val="BodyText"/>
        <w:spacing w:before="2"/>
        <w:ind w:left="0"/>
        <w:rPr>
          <w:sz w:val="18"/>
        </w:rPr>
      </w:pPr>
    </w:p>
    <w:p>
      <w:pPr>
        <w:pStyle w:val="BodyText"/>
      </w:pPr>
      <w:r>
        <w:rPr/>
        <w:t>Entry Applications - C96/09754</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2020-12-09T22:14:26Z</dcterms:created>
  <dcterms:modified xsi:type="dcterms:W3CDTF">2020-12-09T22:14:26Z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