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63</w:t>
      </w:r>
    </w:p>
    <w:p>
      <w:pPr>
        <w:spacing w:line="312" w:lineRule="auto" w:before="390"/>
        <w:ind w:left="100" w:right="59" w:firstLine="0"/>
        <w:jc w:val="left"/>
        <w:rPr>
          <w:b/>
          <w:sz w:val="36"/>
        </w:rPr>
      </w:pPr>
      <w:r>
        <w:rPr>
          <w:b/>
          <w:color w:val="202020"/>
          <w:sz w:val="36"/>
        </w:rPr>
        <w:t>AMENDMENT TO THE CUSTOMS (PROHIBITED EXPORT) REGULATIONS TO REPEAL REGULATION 13CC (EXPORT OF GOODS OWNED OR CONTROLLED BY THE FEDERAL REPUBLIC OF YUGOSLAVIA)</w:t>
      </w:r>
    </w:p>
    <w:p>
      <w:pPr>
        <w:pStyle w:val="BodyText"/>
        <w:spacing w:before="163"/>
        <w:ind w:right="180"/>
      </w:pPr>
      <w:r>
        <w:rPr/>
        <w:t>In June 1992, the Customs (Prohibited Export) Regulations (the Regulations) were amended to insert Regulation 13CC in order to implement United Nations Security Council (UNSC) Resolutions imposing economic and trade sanctions against the Federal Republic of Yugoslavia (Serbia and Montenegro) (FRY). Statutory Rule 1992 No. 155 and Australian Customs Notice (ACN) 92/104 refers.</w:t>
      </w:r>
    </w:p>
    <w:p>
      <w:pPr>
        <w:pStyle w:val="BodyText"/>
        <w:spacing w:before="9"/>
        <w:ind w:left="0"/>
        <w:rPr>
          <w:sz w:val="17"/>
        </w:rPr>
      </w:pPr>
    </w:p>
    <w:p>
      <w:pPr>
        <w:pStyle w:val="BodyText"/>
        <w:ind w:right="513"/>
        <w:jc w:val="both"/>
      </w:pPr>
      <w:r>
        <w:rPr/>
        <w:t>In May 1993, the Regulations were further amended to insert Regulation 13CD to extend the sanctions to the Republic of Bosnia and Herzegovina and the Republic of Croatia. Statutory Rule 1993 No. 68 and ACN 93/81 refers.</w:t>
      </w:r>
    </w:p>
    <w:p>
      <w:pPr>
        <w:pStyle w:val="BodyText"/>
        <w:spacing w:before="10"/>
        <w:ind w:left="0"/>
        <w:rPr>
          <w:sz w:val="17"/>
        </w:rPr>
      </w:pPr>
    </w:p>
    <w:p>
      <w:pPr>
        <w:pStyle w:val="BodyText"/>
        <w:ind w:right="297"/>
      </w:pPr>
      <w:r>
        <w:rPr/>
        <w:t>Regulations 13CC and 13CD prohibited the exportation of all goods the immediate or final destination of which was, or was intended to be, one of the abovementioned Republics without the written permission of the Minister for Foreign Affairs or an authorised person.</w:t>
      </w:r>
    </w:p>
    <w:p>
      <w:pPr>
        <w:pStyle w:val="BodyText"/>
        <w:spacing w:before="10"/>
        <w:ind w:left="0"/>
        <w:rPr>
          <w:sz w:val="17"/>
        </w:rPr>
      </w:pPr>
    </w:p>
    <w:p>
      <w:pPr>
        <w:pStyle w:val="BodyText"/>
        <w:ind w:right="105"/>
      </w:pPr>
      <w:r>
        <w:rPr/>
        <w:t>In December 1995, in accordance with UNSC Resolution 1022 of 22 November 1995, the sanctions in relation to the </w:t>
      </w:r>
      <w:r>
        <w:rPr>
          <w:spacing w:val="-8"/>
        </w:rPr>
        <w:t>FRY, </w:t>
      </w:r>
      <w:r>
        <w:rPr/>
        <w:t>the Republic of Croatia and the Republic of Bosnia and Herzegovina were suspended indefinitely, except insofar as they related to the Bosnian Serb party and the foreign assets of the </w:t>
      </w:r>
      <w:r>
        <w:rPr>
          <w:spacing w:val="-8"/>
        </w:rPr>
        <w:t>FRY. </w:t>
      </w:r>
      <w:r>
        <w:rPr/>
        <w:t>The suspension was achieved by the Minister for Foreign Affairs and Trade issuing a general permission under the relevant</w:t>
      </w:r>
      <w:r>
        <w:rPr>
          <w:spacing w:val="-29"/>
        </w:rPr>
        <w:t> </w:t>
      </w:r>
      <w:r>
        <w:rPr/>
        <w:t>regulations which allowed:</w:t>
      </w:r>
    </w:p>
    <w:p>
      <w:pPr>
        <w:pStyle w:val="BodyText"/>
        <w:spacing w:before="7"/>
        <w:ind w:left="0"/>
        <w:rPr>
          <w:sz w:val="17"/>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 exportation from Australia of all goods except those goods:</w:t>
      </w:r>
    </w:p>
    <w:p>
      <w:pPr>
        <w:pStyle w:val="ListParagraph"/>
        <w:numPr>
          <w:ilvl w:val="0"/>
          <w:numId w:val="1"/>
        </w:numPr>
        <w:tabs>
          <w:tab w:pos="639" w:val="left" w:leader="none"/>
        </w:tabs>
        <w:spacing w:line="240" w:lineRule="auto" w:before="0" w:after="0"/>
        <w:ind w:left="393" w:right="103" w:firstLine="0"/>
        <w:jc w:val="left"/>
        <w:rPr>
          <w:sz w:val="21"/>
        </w:rPr>
      </w:pPr>
      <w:r>
        <w:rPr>
          <w:sz w:val="21"/>
        </w:rPr>
        <w:t>the immediate or final destination of which was intended to be a Bosnian Serb controlled area of Bosnia </w:t>
      </w:r>
      <w:r>
        <w:rPr>
          <w:spacing w:val="-6"/>
          <w:sz w:val="21"/>
        </w:rPr>
        <w:t>and </w:t>
      </w:r>
      <w:r>
        <w:rPr>
          <w:sz w:val="21"/>
        </w:rPr>
        <w:t>Herzegovina;</w:t>
      </w:r>
    </w:p>
    <w:p>
      <w:pPr>
        <w:pStyle w:val="BodyText"/>
        <w:spacing w:before="11"/>
        <w:ind w:left="0"/>
        <w:rPr>
          <w:sz w:val="17"/>
        </w:rPr>
      </w:pPr>
    </w:p>
    <w:p>
      <w:pPr>
        <w:pStyle w:val="BodyText"/>
        <w:ind w:left="393"/>
      </w:pPr>
      <w:r>
        <w:rPr/>
        <w:t>or</w:t>
      </w:r>
    </w:p>
    <w:p>
      <w:pPr>
        <w:pStyle w:val="BodyText"/>
        <w:spacing w:before="1"/>
        <w:ind w:left="0"/>
        <w:rPr>
          <w:sz w:val="18"/>
        </w:rPr>
      </w:pPr>
    </w:p>
    <w:p>
      <w:pPr>
        <w:pStyle w:val="ListParagraph"/>
        <w:numPr>
          <w:ilvl w:val="0"/>
          <w:numId w:val="1"/>
        </w:numPr>
        <w:tabs>
          <w:tab w:pos="686" w:val="left" w:leader="none"/>
        </w:tabs>
        <w:spacing w:line="240" w:lineRule="auto" w:before="0" w:after="0"/>
        <w:ind w:left="685" w:right="0" w:hanging="293"/>
        <w:jc w:val="left"/>
        <w:rPr>
          <w:sz w:val="21"/>
        </w:rPr>
      </w:pPr>
      <w:r>
        <w:rPr>
          <w:sz w:val="21"/>
        </w:rPr>
        <w:t>that were owned or controlled by the FRY or a public utility of that</w:t>
      </w:r>
      <w:r>
        <w:rPr>
          <w:spacing w:val="-5"/>
          <w:sz w:val="21"/>
        </w:rPr>
        <w:t> </w:t>
      </w:r>
      <w:r>
        <w:rPr>
          <w:sz w:val="21"/>
        </w:rPr>
        <w:t>country.</w:t>
      </w:r>
    </w:p>
    <w:p>
      <w:pPr>
        <w:pStyle w:val="BodyText"/>
        <w:spacing w:before="2"/>
        <w:ind w:left="0"/>
        <w:rPr>
          <w:sz w:val="18"/>
        </w:rPr>
      </w:pPr>
    </w:p>
    <w:p>
      <w:pPr>
        <w:pStyle w:val="BodyText"/>
        <w:ind w:right="101"/>
      </w:pPr>
      <w:r>
        <w:rPr/>
        <w:t>On 29 February 1996, the Secretary-General of </w:t>
      </w:r>
      <w:r>
        <w:rPr>
          <w:spacing w:val="-5"/>
        </w:rPr>
        <w:t>NATO </w:t>
      </w:r>
      <w:r>
        <w:rPr/>
        <w:t>advised the UN that the Bosnian Serb forces had withdrawn from the zones of separation set out in the Dayton Peace Agreement, thereby satisfying the requirements of UNSC Resolution 1022 for suspension of the remaining sanctions against the Bosnian Serb </w:t>
      </w:r>
      <w:r>
        <w:rPr>
          <w:spacing w:val="-3"/>
        </w:rPr>
        <w:t>Party. </w:t>
      </w:r>
      <w:r>
        <w:rPr/>
        <w:t>The obligation on Australia of this suspension was that only the exportation from Australia of goods "owned or controlled, directly or indirectly, by the FRY or a public utility of the FRY" was to be controlled. Regulation</w:t>
      </w:r>
      <w:r>
        <w:rPr>
          <w:spacing w:val="-21"/>
        </w:rPr>
        <w:t> </w:t>
      </w:r>
      <w:r>
        <w:rPr>
          <w:spacing w:val="-5"/>
        </w:rPr>
        <w:t>13CC </w:t>
      </w:r>
      <w:r>
        <w:rPr/>
        <w:t>was amended to reflect this outcome and Regulation 13CD was repealed. Statutory Rule 1996 No. 32 and ACN 95/65 refers.</w:t>
      </w:r>
    </w:p>
    <w:p>
      <w:pPr>
        <w:pStyle w:val="BodyText"/>
        <w:spacing w:before="4"/>
        <w:ind w:left="0"/>
        <w:rPr>
          <w:sz w:val="17"/>
        </w:rPr>
      </w:pPr>
    </w:p>
    <w:p>
      <w:pPr>
        <w:pStyle w:val="BodyText"/>
        <w:ind w:right="180"/>
      </w:pPr>
      <w:r>
        <w:rPr/>
        <w:t>On 1 October 1996, the UNSC decided in Resolution 1074 that the remaining sanctions should be terminated. The Minister for Foreign Affairs and Trade therefore requested that the Customs (Prohibited Export) Regulations be amended to repeal Regulation 13CC to give effect to Resolution 1074. This amendment became effective on 12 December 1996 by Statutory Rule 1996 No. 282.</w:t>
      </w:r>
    </w:p>
    <w:p>
      <w:pPr>
        <w:pStyle w:val="BodyText"/>
        <w:spacing w:before="8"/>
        <w:ind w:left="0"/>
        <w:rPr>
          <w:sz w:val="17"/>
        </w:rPr>
      </w:pPr>
    </w:p>
    <w:p>
      <w:pPr>
        <w:pStyle w:val="BodyText"/>
        <w:spacing w:line="446" w:lineRule="auto" w:before="1"/>
        <w:ind w:right="816"/>
        <w:rPr>
          <w:b/>
        </w:rPr>
      </w:pPr>
      <w:r>
        <w:rPr/>
        <w:t>This last amendment means that there are no prohibitions on goods being exported to the FRY. </w:t>
      </w:r>
      <w:r>
        <w:rPr>
          <w:b/>
        </w:rPr>
        <w:t>FURTHER ENQUIRIES</w:t>
      </w:r>
    </w:p>
    <w:p>
      <w:pPr>
        <w:pStyle w:val="BodyText"/>
        <w:spacing w:before="1"/>
      </w:pPr>
      <w:r>
        <w:rPr/>
        <w:t>Any enquiries regarding these controls should be directed to the Department of Foreign Affairs and Trade, Central Europe, Nordic and West Mediterranean Section, Canberra on (06) 2613654.</w:t>
      </w:r>
    </w:p>
    <w:p>
      <w:pPr>
        <w:pStyle w:val="BodyText"/>
        <w:ind w:left="0"/>
        <w:rPr>
          <w:sz w:val="18"/>
        </w:rPr>
      </w:pPr>
    </w:p>
    <w:p>
      <w:pPr>
        <w:pStyle w:val="BodyText"/>
        <w:spacing w:line="241" w:lineRule="exact"/>
      </w:pPr>
      <w:r>
        <w:rPr/>
        <w:t>(R J MITCHELL)</w:t>
      </w:r>
    </w:p>
    <w:p>
      <w:pPr>
        <w:pStyle w:val="BodyText"/>
        <w:ind w:right="8471"/>
      </w:pPr>
      <w:r>
        <w:rPr/>
        <w:t>National </w:t>
      </w:r>
      <w:r>
        <w:rPr>
          <w:spacing w:val="-3"/>
        </w:rPr>
        <w:t>Manager </w:t>
      </w:r>
      <w:r>
        <w:rPr/>
        <w:t>Cargo Facilitation</w:t>
      </w:r>
    </w:p>
    <w:p>
      <w:pPr>
        <w:spacing w:after="0"/>
        <w:sectPr>
          <w:type w:val="continuous"/>
          <w:pgSz w:w="11900" w:h="16840"/>
          <w:pgMar w:top="700" w:bottom="280" w:left="600" w:right="540"/>
        </w:sectPr>
      </w:pPr>
    </w:p>
    <w:p>
      <w:pPr>
        <w:pStyle w:val="BodyText"/>
        <w:spacing w:before="78"/>
        <w:ind w:right="7478"/>
      </w:pPr>
      <w:r>
        <w:rPr/>
        <w:t>for CHIEF EXECUTIVE OFFICER CANBERRA ACT 2601</w:t>
      </w:r>
    </w:p>
    <w:p>
      <w:pPr>
        <w:pStyle w:val="BodyText"/>
        <w:ind w:left="0"/>
        <w:rPr>
          <w:sz w:val="18"/>
        </w:rPr>
      </w:pPr>
    </w:p>
    <w:p>
      <w:pPr>
        <w:pStyle w:val="BodyText"/>
      </w:pPr>
      <w:r>
        <w:rPr/>
        <w:t>12 December 1996</w:t>
      </w:r>
    </w:p>
    <w:p>
      <w:pPr>
        <w:pStyle w:val="BodyText"/>
        <w:spacing w:before="1"/>
        <w:ind w:left="0"/>
        <w:rPr>
          <w:sz w:val="18"/>
        </w:rPr>
      </w:pPr>
    </w:p>
    <w:p>
      <w:pPr>
        <w:pStyle w:val="BodyText"/>
      </w:pPr>
      <w:r>
        <w:rPr/>
        <w:t>(Cargo Facilitation : C96/00319)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393" w:hanging="245"/>
        <w:jc w:val="left"/>
      </w:pPr>
      <w:rPr>
        <w:rFonts w:hint="default" w:ascii="Arial" w:hAnsi="Arial" w:eastAsia="Arial" w:cs="Arial"/>
        <w:w w:val="100"/>
        <w:sz w:val="21"/>
        <w:szCs w:val="21"/>
      </w:rPr>
    </w:lvl>
    <w:lvl w:ilvl="1">
      <w:start w:val="0"/>
      <w:numFmt w:val="bullet"/>
      <w:lvlText w:val="•"/>
      <w:lvlJc w:val="left"/>
      <w:pPr>
        <w:ind w:left="1436" w:hanging="245"/>
      </w:pPr>
      <w:rPr>
        <w:rFonts w:hint="default"/>
      </w:rPr>
    </w:lvl>
    <w:lvl w:ilvl="2">
      <w:start w:val="0"/>
      <w:numFmt w:val="bullet"/>
      <w:lvlText w:val="•"/>
      <w:lvlJc w:val="left"/>
      <w:pPr>
        <w:ind w:left="2472" w:hanging="245"/>
      </w:pPr>
      <w:rPr>
        <w:rFonts w:hint="default"/>
      </w:rPr>
    </w:lvl>
    <w:lvl w:ilvl="3">
      <w:start w:val="0"/>
      <w:numFmt w:val="bullet"/>
      <w:lvlText w:val="•"/>
      <w:lvlJc w:val="left"/>
      <w:pPr>
        <w:ind w:left="3508" w:hanging="245"/>
      </w:pPr>
      <w:rPr>
        <w:rFonts w:hint="default"/>
      </w:rPr>
    </w:lvl>
    <w:lvl w:ilvl="4">
      <w:start w:val="0"/>
      <w:numFmt w:val="bullet"/>
      <w:lvlText w:val="•"/>
      <w:lvlJc w:val="left"/>
      <w:pPr>
        <w:ind w:left="4544" w:hanging="245"/>
      </w:pPr>
      <w:rPr>
        <w:rFonts w:hint="default"/>
      </w:rPr>
    </w:lvl>
    <w:lvl w:ilvl="5">
      <w:start w:val="0"/>
      <w:numFmt w:val="bullet"/>
      <w:lvlText w:val="•"/>
      <w:lvlJc w:val="left"/>
      <w:pPr>
        <w:ind w:left="5580" w:hanging="245"/>
      </w:pPr>
      <w:rPr>
        <w:rFonts w:hint="default"/>
      </w:rPr>
    </w:lvl>
    <w:lvl w:ilvl="6">
      <w:start w:val="0"/>
      <w:numFmt w:val="bullet"/>
      <w:lvlText w:val="•"/>
      <w:lvlJc w:val="left"/>
      <w:pPr>
        <w:ind w:left="6616" w:hanging="245"/>
      </w:pPr>
      <w:rPr>
        <w:rFonts w:hint="default"/>
      </w:rPr>
    </w:lvl>
    <w:lvl w:ilvl="7">
      <w:start w:val="0"/>
      <w:numFmt w:val="bullet"/>
      <w:lvlText w:val="•"/>
      <w:lvlJc w:val="left"/>
      <w:pPr>
        <w:ind w:left="7652" w:hanging="245"/>
      </w:pPr>
      <w:rPr>
        <w:rFonts w:hint="default"/>
      </w:rPr>
    </w:lvl>
    <w:lvl w:ilvl="8">
      <w:start w:val="0"/>
      <w:numFmt w:val="bullet"/>
      <w:lvlText w:val="•"/>
      <w:lvlJc w:val="left"/>
      <w:pPr>
        <w:ind w:left="8688" w:hanging="24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93" w:hanging="29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2020-12-09T23:15:10Z</dcterms:created>
  <dcterms:modified xsi:type="dcterms:W3CDTF">2020-12-09T23:15:10Z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