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05</w:t>
      </w:r>
    </w:p>
    <w:p>
      <w:pPr>
        <w:spacing w:line="312" w:lineRule="auto" w:before="390"/>
        <w:ind w:left="100" w:right="65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DRAWBACKS ELECTRONIC DATA INPUT PROJECT 1996- 1997</w:t>
      </w:r>
    </w:p>
    <w:p>
      <w:pPr>
        <w:pStyle w:val="BodyText"/>
        <w:spacing w:before="159"/>
        <w:ind w:right="1110"/>
      </w:pPr>
      <w:r>
        <w:rPr/>
        <w:t>The Cargo Automation Development Fund (CADF) committee recently approved the development and implementation of an Electronic Data Input (EDI) front-end to the current Drawback system.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468"/>
      </w:pPr>
      <w:r>
        <w:rPr/>
        <w:t>The new EDI Drawback system will replace the current manual Drawback application process and provide an efficient, secure and cost-effective procedure by which clients may claim drawback. It is anticipated that the introduction of EDI Drawbacks will: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1" w:lineRule="exact" w:before="1"/>
        <w:ind w:left="393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provide easier access for clients to make drawback claims;</w:t>
      </w:r>
    </w:p>
    <w:p>
      <w:pPr>
        <w:pStyle w:val="BodyText"/>
        <w:ind w:left="393" w:right="2999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29664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t>reduce the reliance of clients on paper claims and associated correspondence; provide immediate response to claim status queries; and</w:t>
      </w:r>
    </w:p>
    <w:p>
      <w:pPr>
        <w:pStyle w:val="BodyText"/>
        <w:spacing w:line="239" w:lineRule="exact"/>
        <w:ind w:left="393"/>
      </w:pPr>
      <w:r>
        <w:rPr/>
        <w:pict>
          <v:shape style="position:absolute;margin-left:38.75pt;margin-top:5.200928pt;width:3pt;height:3pt;mso-position-horizontal-relative:page;mso-position-vertical-relative:paragraph;z-index:15730176" coordorigin="775,104" coordsize="60,60" path="m805,164l792,162,783,157,777,147,775,134,777,121,783,112,792,106,805,104,818,106,828,112,833,121,835,134,833,147,828,157,818,162,805,164xe" filled="true" fillcolor="#000000" stroked="false">
            <v:path arrowok="t"/>
            <v:fill type="solid"/>
            <w10:wrap type="none"/>
          </v:shape>
        </w:pict>
      </w:r>
      <w:r>
        <w:rPr/>
        <w:t>reduce the turnaround time for the payment of claims.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34"/>
      </w:pPr>
      <w:r>
        <w:rPr/>
        <w:t>Members of peak industry bodies, dedicated information technology service providers and large drawback </w:t>
      </w:r>
      <w:r>
        <w:rPr>
          <w:spacing w:val="-3"/>
        </w:rPr>
        <w:t>clients </w:t>
      </w:r>
      <w:r>
        <w:rPr/>
        <w:t>will be invited to provide input into the development and trial stages of the EDI Drawback system. Clients will have the flexibility to develop a drawback module to enable them to interface with their existing inhouse system, or to select from a range of dedicated software providers.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93"/>
      </w:pPr>
      <w:r>
        <w:rPr/>
        <w:t>Seminars are planned to be held in Sydney and Melbourne in approximately March/April 1997, to give clients and interested parties the opportunity to discuss the project with Customs. Venues, dates and scheduled times of these seminars will be advised at a later date.</w:t>
      </w:r>
    </w:p>
    <w:p>
      <w:pPr>
        <w:spacing w:line="450" w:lineRule="exact" w:before="43"/>
        <w:ind w:left="100" w:right="492" w:firstLine="0"/>
        <w:jc w:val="left"/>
        <w:rPr>
          <w:sz w:val="21"/>
        </w:rPr>
      </w:pPr>
      <w:r>
        <w:rPr>
          <w:sz w:val="21"/>
        </w:rPr>
        <w:t>Any enquiries concerning EDI Drawbacks may be directed to </w:t>
      </w:r>
      <w:r>
        <w:rPr>
          <w:b/>
          <w:sz w:val="21"/>
        </w:rPr>
        <w:t>Mr Mike Henry in Canberra on (06) 275 6502. </w:t>
      </w:r>
      <w:r>
        <w:rPr>
          <w:sz w:val="21"/>
        </w:rPr>
        <w:t>(C F VASSAROTTI)</w:t>
      </w:r>
    </w:p>
    <w:p>
      <w:pPr>
        <w:pStyle w:val="BodyText"/>
        <w:spacing w:line="194" w:lineRule="exact"/>
      </w:pPr>
      <w:r>
        <w:rPr/>
        <w:t>National Director</w:t>
      </w:r>
    </w:p>
    <w:p>
      <w:pPr>
        <w:pStyle w:val="BodyText"/>
        <w:spacing w:line="241" w:lineRule="exact"/>
      </w:pPr>
      <w:r>
        <w:rPr/>
        <w:t>Commercial Services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061"/>
      </w:pPr>
      <w:r>
        <w:rPr/>
        <w:t>for Chief Executive </w:t>
      </w:r>
      <w:r>
        <w:rPr>
          <w:spacing w:val="-4"/>
        </w:rPr>
        <w:t>Officer </w:t>
      </w:r>
      <w:r>
        <w:rPr/>
        <w:t>CANBERRA ACT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31 January 1997</w:t>
      </w:r>
    </w:p>
    <w:sectPr>
      <w:type w:val="continuous"/>
      <w:pgSz w:w="11900" w:h="16840"/>
      <w:pgMar w:top="70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2020-12-09T22:33:20Z</dcterms:created>
  <dcterms:modified xsi:type="dcterms:W3CDTF">2020-12-09T22:33:20Z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