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1997 15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IMPORT PROCESSING CHARGES</w:t>
      </w:r>
    </w:p>
    <w:p>
      <w:pPr>
        <w:pStyle w:val="BodyText"/>
        <w:spacing w:line="237" w:lineRule="auto" w:before="256"/>
        <w:ind w:left="108" w:right="716"/>
        <w:rPr>
          <w:b/>
        </w:rPr>
      </w:pPr>
      <w:r>
        <w:rPr/>
        <w:t>In the August 1996 Budget, the Government announced charges that would apply to certain Customs commercial activities (refer</w:t>
      </w:r>
      <w:hyperlink r:id="rId5">
        <w:r>
          <w:rPr>
            <w:color w:val="0F64C7"/>
          </w:rPr>
          <w:t>ACN 96/44 </w:t>
        </w:r>
      </w:hyperlink>
      <w:r>
        <w:rPr/>
        <w:t>- 23 September 1996). The legislation required to introduce the charges has now been passed and the charges will apply from </w:t>
      </w:r>
      <w:r>
        <w:rPr>
          <w:b/>
        </w:rPr>
        <w:t>1 April 1997.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line="446" w:lineRule="auto"/>
        <w:ind w:left="108" w:right="3831"/>
      </w:pPr>
      <w:r>
        <w:rPr/>
        <w:t>The charges are shown on the following page. These charges have been subject to minor amendments since initial notification in </w:t>
      </w:r>
      <w:hyperlink r:id="rId5">
        <w:r>
          <w:rPr>
            <w:color w:val="0F64C7"/>
          </w:rPr>
          <w:t>ACN 96/44.</w:t>
        </w:r>
      </w:hyperlink>
      <w:r>
        <w:rPr>
          <w:color w:val="0F64C7"/>
        </w:rPr>
        <w:t> </w:t>
      </w:r>
      <w:r>
        <w:rPr/>
        <w:t>Some arrangements have also been amended, as foreshadowed in </w:t>
      </w:r>
      <w:hyperlink r:id="rId5">
        <w:r>
          <w:rPr>
            <w:color w:val="0F64C7"/>
          </w:rPr>
          <w:t>ACN 97/11 </w:t>
        </w:r>
      </w:hyperlink>
      <w:r>
        <w:rPr/>
        <w:t>of February 1997.</w:t>
      </w:r>
    </w:p>
    <w:p>
      <w:pPr>
        <w:spacing w:line="217" w:lineRule="exact" w:before="0"/>
        <w:ind w:left="108" w:right="0" w:firstLine="0"/>
        <w:jc w:val="left"/>
        <w:rPr>
          <w:i/>
          <w:sz w:val="19"/>
        </w:rPr>
      </w:pPr>
      <w:r>
        <w:rPr>
          <w:i/>
          <w:sz w:val="19"/>
          <w:u w:val="single"/>
        </w:rPr>
        <w:t>Depot Licensing Arrangements</w:t>
      </w:r>
    </w:p>
    <w:p>
      <w:pPr>
        <w:pStyle w:val="BodyText"/>
        <w:spacing w:before="3"/>
        <w:rPr>
          <w:i/>
          <w:sz w:val="16"/>
        </w:rPr>
      </w:pPr>
    </w:p>
    <w:p>
      <w:pPr>
        <w:spacing w:line="446" w:lineRule="auto" w:before="0"/>
        <w:ind w:left="108" w:right="8255" w:firstLine="0"/>
        <w:jc w:val="left"/>
        <w:rPr>
          <w:i/>
          <w:sz w:val="19"/>
        </w:rPr>
      </w:pPr>
      <w:r>
        <w:rPr>
          <w:sz w:val="19"/>
        </w:rPr>
        <w:t>A two-tier structure for depot licensing will be implemented from 1 April 1997. </w:t>
      </w:r>
      <w:r>
        <w:rPr>
          <w:i/>
          <w:sz w:val="19"/>
          <w:u w:val="single"/>
        </w:rPr>
        <w:t>Commercial Entry Threshold at the Post</w:t>
      </w:r>
    </w:p>
    <w:p>
      <w:pPr>
        <w:pStyle w:val="BodyText"/>
        <w:spacing w:line="237" w:lineRule="auto"/>
        <w:ind w:left="108" w:right="315"/>
      </w:pPr>
      <w:r>
        <w:rPr/>
        <w:t>There will be a 12 month delay in implementing the reduction of the commercial entry threshold from $1000 to $250 at the Post. From 1 April 1998 it will be necessary to lodge a formal import entry for commercial goods over $250.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t>Other relevant notices in relation to cost recovery are: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/>
        <w:ind w:left="372" w:right="5710"/>
      </w:pPr>
      <w:r>
        <w:rPr/>
        <w:pict>
          <v:shape style="position:absolute;margin-left:37.785896pt;margin-top:4.766748pt;width:2.75pt;height:2.75pt;mso-position-horizontal-relative:page;mso-position-vertical-relative:paragraph;z-index:15728640" coordorigin="756,95" coordsize="55,55" path="m801,149l765,149,756,140,756,104,765,95,801,95,810,104,810,122,810,140,801,14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.785896pt;margin-top:15.580161pt;width:2.75pt;height:2.75pt;mso-position-horizontal-relative:page;mso-position-vertical-relative:paragraph;z-index:15729152" coordorigin="756,312" coordsize="55,55" path="m801,366l765,366,756,357,756,321,765,312,801,312,810,321,810,339,810,357,801,366xe" filled="true" fillcolor="#000000" stroked="false">
            <v:path arrowok="t"/>
            <v:fill type="solid"/>
            <w10:wrap type="none"/>
          </v:shape>
        </w:pict>
      </w:r>
      <w:hyperlink r:id="rId5">
        <w:r>
          <w:rPr>
            <w:color w:val="0F64C7"/>
          </w:rPr>
          <w:t>ACN 97/17 </w:t>
        </w:r>
      </w:hyperlink>
      <w:r>
        <w:rPr/>
        <w:t>Manual Reporting Charge and Charge for Air Cargo Not Requiring an Entry - Air Cargo Procedures. </w:t>
      </w:r>
      <w:hyperlink r:id="rId5">
        <w:r>
          <w:rPr>
            <w:color w:val="0F64C7"/>
          </w:rPr>
          <w:t>ACN 97/16 </w:t>
        </w:r>
      </w:hyperlink>
      <w:r>
        <w:rPr/>
        <w:t>Manual Reporting Charge - Sea Cargo Procedures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372" w:right="0" w:firstLine="0"/>
        <w:jc w:val="left"/>
        <w:rPr>
          <w:b/>
          <w:sz w:val="19"/>
        </w:rPr>
      </w:pPr>
      <w:r>
        <w:rPr>
          <w:b/>
          <w:sz w:val="19"/>
        </w:rPr>
        <w:t>Schedule of charges</w:t>
      </w:r>
    </w:p>
    <w:p>
      <w:pPr>
        <w:pStyle w:val="BodyText"/>
        <w:spacing w:before="5"/>
        <w:rPr>
          <w:b/>
          <w:sz w:val="16"/>
        </w:rPr>
      </w:pPr>
    </w:p>
    <w:tbl>
      <w:tblPr>
        <w:tblW w:w="0" w:type="auto"/>
        <w:jc w:val="left"/>
        <w:tblInd w:w="393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0"/>
        <w:gridCol w:w="4272"/>
        <w:gridCol w:w="6165"/>
      </w:tblGrid>
      <w:tr>
        <w:trPr>
          <w:trHeight w:val="593" w:hRule="atLeast"/>
        </w:trPr>
        <w:tc>
          <w:tcPr>
            <w:tcW w:w="48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1"/>
              <w:ind w:left="9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Item</w:t>
            </w:r>
          </w:p>
        </w:tc>
        <w:tc>
          <w:tcPr>
            <w:tcW w:w="4272" w:type="dxa"/>
          </w:tcPr>
          <w:p>
            <w:pPr>
              <w:pStyle w:val="TableParagraph"/>
              <w:spacing w:before="91"/>
              <w:ind w:left="94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Charge</w:t>
            </w:r>
          </w:p>
        </w:tc>
        <w:tc>
          <w:tcPr>
            <w:tcW w:w="6165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93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Payable By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Import Entry via sea (lodged electronically)</w:t>
            </w:r>
          </w:p>
        </w:tc>
        <w:tc>
          <w:tcPr>
            <w:tcW w:w="4272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$29.65 plus $0.20 per line after line 10</w:t>
            </w:r>
          </w:p>
        </w:tc>
        <w:tc>
          <w:tcPr>
            <w:tcW w:w="6165" w:type="dxa"/>
            <w:tcBorders>
              <w:right w:val="nil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the owner, on entry into home consumption or into a warehouse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Manual Import Entry via sea</w:t>
            </w:r>
          </w:p>
        </w:tc>
        <w:tc>
          <w:tcPr>
            <w:tcW w:w="4272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$51.40 plus $1.00 per line after the first line</w:t>
            </w:r>
          </w:p>
        </w:tc>
        <w:tc>
          <w:tcPr>
            <w:tcW w:w="6165" w:type="dxa"/>
            <w:tcBorders>
              <w:right w:val="nil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the owner, on entry as above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Import Entry via air or post (lodged electronically)</w:t>
            </w:r>
          </w:p>
        </w:tc>
        <w:tc>
          <w:tcPr>
            <w:tcW w:w="4272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$22.80 plus $0.20 per line after line 10</w:t>
            </w:r>
          </w:p>
        </w:tc>
        <w:tc>
          <w:tcPr>
            <w:tcW w:w="6165" w:type="dxa"/>
            <w:tcBorders>
              <w:right w:val="nil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the owner, on entry as above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Manual Import Entry charge via air or post0</w:t>
            </w:r>
          </w:p>
        </w:tc>
        <w:tc>
          <w:tcPr>
            <w:tcW w:w="4272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$44.55 plus $1.00 per line after the first line</w:t>
            </w:r>
          </w:p>
        </w:tc>
        <w:tc>
          <w:tcPr>
            <w:tcW w:w="6165" w:type="dxa"/>
            <w:tcBorders>
              <w:right w:val="nil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the owner, on entry as above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Manual Reporting charge for sea cargo</w:t>
            </w:r>
          </w:p>
        </w:tc>
        <w:tc>
          <w:tcPr>
            <w:tcW w:w="4272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$2.60 per manifest line</w:t>
            </w:r>
          </w:p>
        </w:tc>
        <w:tc>
          <w:tcPr>
            <w:tcW w:w="6165" w:type="dxa"/>
            <w:tcBorders>
              <w:right w:val="nil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the cargo handler, on reporting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Manual Reporting charge for air cargo</w:t>
            </w:r>
          </w:p>
        </w:tc>
        <w:tc>
          <w:tcPr>
            <w:tcW w:w="4272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$3.00 per house or straight line air waybill</w:t>
            </w:r>
          </w:p>
        </w:tc>
        <w:tc>
          <w:tcPr>
            <w:tcW w:w="6165" w:type="dxa"/>
            <w:tcBorders>
              <w:right w:val="nil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the cargo handler, on reporting</w:t>
            </w:r>
          </w:p>
        </w:tc>
      </w:tr>
      <w:tr>
        <w:trPr>
          <w:trHeight w:val="162" w:hRule="atLeast"/>
        </w:trPr>
        <w:tc>
          <w:tcPr>
            <w:tcW w:w="4880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7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65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6840" w:h="11900" w:orient="landscape"/>
          <w:pgMar w:top="680" w:bottom="280" w:left="580" w:right="440"/>
        </w:sectPr>
      </w:pPr>
    </w:p>
    <w:tbl>
      <w:tblPr>
        <w:tblW w:w="0" w:type="auto"/>
        <w:jc w:val="left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0"/>
        <w:gridCol w:w="4272"/>
        <w:gridCol w:w="6165"/>
      </w:tblGrid>
      <w:tr>
        <w:trPr>
          <w:trHeight w:val="310" w:hRule="atLeast"/>
        </w:trPr>
        <w:tc>
          <w:tcPr>
            <w:tcW w:w="4880" w:type="dxa"/>
            <w:tcBorders>
              <w:top w:val="nil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09" w:lineRule="exact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Charge for air cargo not requiring an import entry</w:t>
            </w:r>
          </w:p>
        </w:tc>
        <w:tc>
          <w:tcPr>
            <w:tcW w:w="4272" w:type="dxa"/>
            <w:tcBorders>
              <w:top w:val="nil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09" w:lineRule="exact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$2.40 per house or straight line air waybill</w:t>
            </w:r>
          </w:p>
        </w:tc>
        <w:tc>
          <w:tcPr>
            <w:tcW w:w="6165" w:type="dxa"/>
            <w:tcBorders>
              <w:top w:val="nil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line="209" w:lineRule="exact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the cargo handler, on periodic settlement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Import Entry ex-warehouse (lodged electronically)</w:t>
            </w:r>
          </w:p>
        </w:tc>
        <w:tc>
          <w:tcPr>
            <w:tcW w:w="4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$5.00 plus $0.20 per line after line 10</w:t>
            </w:r>
          </w:p>
        </w:tc>
        <w:tc>
          <w:tcPr>
            <w:tcW w:w="6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the owner, on removal of goods from a warehouse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Import Entry ex-warehouse (lodged manually)</w:t>
            </w:r>
          </w:p>
        </w:tc>
        <w:tc>
          <w:tcPr>
            <w:tcW w:w="4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$26.75 plus $0.80 per line after the first line</w:t>
            </w:r>
          </w:p>
        </w:tc>
        <w:tc>
          <w:tcPr>
            <w:tcW w:w="6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the owner, on removal of goods from a warehouse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Licence Fee for Customs depot</w:t>
            </w:r>
          </w:p>
        </w:tc>
        <w:tc>
          <w:tcPr>
            <w:tcW w:w="4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$1000 for initial licence</w:t>
            </w:r>
          </w:p>
        </w:tc>
        <w:tc>
          <w:tcPr>
            <w:tcW w:w="6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existing 17(b) operators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4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$3000 per application</w:t>
            </w:r>
          </w:p>
        </w:tc>
        <w:tc>
          <w:tcPr>
            <w:tcW w:w="6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4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new applicants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4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$1500 annual fee, or</w:t>
            </w:r>
          </w:p>
        </w:tc>
        <w:tc>
          <w:tcPr>
            <w:tcW w:w="6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4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depots with less than 100 transactions p.a., or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84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$4000 annual fee</w:t>
            </w:r>
          </w:p>
        </w:tc>
        <w:tc>
          <w:tcPr>
            <w:tcW w:w="6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84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all other depots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Refund Application Fee (lodged electronically)</w:t>
            </w:r>
          </w:p>
        </w:tc>
        <w:tc>
          <w:tcPr>
            <w:tcW w:w="4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$45.00 per application</w:t>
            </w:r>
          </w:p>
        </w:tc>
        <w:tc>
          <w:tcPr>
            <w:tcW w:w="6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the duty payer, on application</w:t>
            </w:r>
          </w:p>
        </w:tc>
      </w:tr>
      <w:tr>
        <w:trPr>
          <w:trHeight w:val="593" w:hRule="atLeast"/>
        </w:trPr>
        <w:tc>
          <w:tcPr>
            <w:tcW w:w="4880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Refund Application Fee (lodged manually)</w:t>
            </w:r>
          </w:p>
        </w:tc>
        <w:tc>
          <w:tcPr>
            <w:tcW w:w="4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color w:val="202020"/>
                <w:sz w:val="19"/>
              </w:rPr>
              <w:t>$65.00 per application</w:t>
            </w:r>
          </w:p>
        </w:tc>
        <w:tc>
          <w:tcPr>
            <w:tcW w:w="6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the duty payer, on application</w:t>
            </w:r>
          </w:p>
        </w:tc>
      </w:tr>
      <w:tr>
        <w:trPr>
          <w:trHeight w:val="998" w:hRule="atLeast"/>
        </w:trPr>
        <w:tc>
          <w:tcPr>
            <w:tcW w:w="4880" w:type="dxa"/>
            <w:tcBorders>
              <w:top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color w:val="202020"/>
                <w:sz w:val="19"/>
              </w:rPr>
              <w:t>S. 28 Location &amp;amp; Overtime Fees</w:t>
            </w:r>
          </w:p>
        </w:tc>
        <w:tc>
          <w:tcPr>
            <w:tcW w:w="427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400" w:lineRule="atLeast" w:before="92"/>
              <w:ind w:left="94" w:right="623"/>
              <w:rPr>
                <w:sz w:val="19"/>
              </w:rPr>
            </w:pPr>
            <w:r>
              <w:rPr>
                <w:color w:val="202020"/>
                <w:sz w:val="19"/>
              </w:rPr>
              <w:t>$37.00 (Location) or $40.00 (Overtime) per hr or part thereof plus transport costs</w:t>
            </w:r>
          </w:p>
        </w:tc>
        <w:tc>
          <w:tcPr>
            <w:tcW w:w="616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nil"/>
            </w:tcBorders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93"/>
              <w:rPr>
                <w:sz w:val="19"/>
              </w:rPr>
            </w:pPr>
            <w:r>
              <w:rPr>
                <w:color w:val="202020"/>
                <w:sz w:val="19"/>
              </w:rPr>
              <w:t>the company/individual requesting the service</w:t>
            </w:r>
          </w:p>
        </w:tc>
      </w:tr>
    </w:tbl>
    <w:p>
      <w:pPr>
        <w:pStyle w:val="BodyText"/>
        <w:spacing w:before="6"/>
        <w:rPr>
          <w:b/>
          <w:sz w:val="7"/>
        </w:rPr>
      </w:pPr>
    </w:p>
    <w:p>
      <w:pPr>
        <w:pStyle w:val="BodyText"/>
        <w:spacing w:line="217" w:lineRule="exact" w:before="93"/>
        <w:ind w:left="372"/>
      </w:pPr>
      <w:r>
        <w:rPr/>
        <w:t>(M. J. Roche)</w:t>
      </w:r>
    </w:p>
    <w:p>
      <w:pPr>
        <w:pStyle w:val="BodyText"/>
        <w:spacing w:line="237" w:lineRule="auto" w:before="1"/>
        <w:ind w:left="372" w:right="12669"/>
      </w:pPr>
      <w:r>
        <w:rPr/>
        <w:t>Deputy Chief Executive Officer 20 February 1997</w:t>
      </w:r>
    </w:p>
    <w:sectPr>
      <w:pgSz w:w="16840" w:h="11900" w:orient="landscape"/>
      <w:pgMar w:top="5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69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orderauthor.border.gov.au/busi/cust/aust/Australian-Customs-Notice-1997-15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2020-12-09T22:15:51Z</dcterms:created>
  <dcterms:modified xsi:type="dcterms:W3CDTF">2020-12-09T22:15:51Z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