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28</w:t>
      </w:r>
    </w:p>
    <w:p>
      <w:pPr>
        <w:spacing w:line="312" w:lineRule="auto" w:before="390"/>
        <w:ind w:left="100" w:right="0" w:firstLine="0"/>
        <w:jc w:val="left"/>
        <w:rPr>
          <w:b/>
          <w:sz w:val="36"/>
        </w:rPr>
      </w:pPr>
      <w:r>
        <w:rPr>
          <w:b/>
          <w:color w:val="202020"/>
          <w:sz w:val="36"/>
        </w:rPr>
        <w:t>CUSTOMS TARIFF PROPOSAL No. 1 (1997) "TERRITORIES ADMINISTERED BY THE PALESTINIAN AUTHORITY" - INCLUSION IN THE LIST OF COUNTRIES ELIGIBLE TO RECEIVE DEVELOPING COUNTRY PREFERENCE</w:t>
      </w:r>
    </w:p>
    <w:p>
      <w:pPr>
        <w:pStyle w:val="BodyText"/>
        <w:spacing w:before="163"/>
      </w:pPr>
      <w:r>
        <w:rPr/>
        <w:t>The above Customs Tariff Proposal, introduced into Parliament on 18 March 1997, gives effect to a Government decision to accord Developing Country Preference (DCS rates of duty) to the "Territories Administered by the Palestinian Authority". The decision reflects the Government's support of the United Nations sponsored negotiations between the Israeli Government and the Palestinian Authorities.</w:t>
      </w:r>
    </w:p>
    <w:p>
      <w:pPr>
        <w:pStyle w:val="BodyText"/>
        <w:spacing w:before="9"/>
        <w:ind w:left="0"/>
        <w:rPr>
          <w:sz w:val="17"/>
        </w:rPr>
      </w:pPr>
    </w:p>
    <w:p>
      <w:pPr>
        <w:pStyle w:val="BodyText"/>
      </w:pPr>
      <w:r>
        <w:rPr/>
        <w:t>The date of implementation will be backdated to 10 March 1997. The new Country Code will be "PALA" and Preference Indicator "T" will be required on entries.</w:t>
      </w:r>
    </w:p>
    <w:p>
      <w:pPr>
        <w:pStyle w:val="BodyText"/>
        <w:ind w:left="0"/>
        <w:rPr>
          <w:sz w:val="18"/>
        </w:rPr>
      </w:pPr>
    </w:p>
    <w:p>
      <w:pPr>
        <w:pStyle w:val="BodyText"/>
        <w:spacing w:line="446" w:lineRule="auto"/>
        <w:ind w:right="995"/>
      </w:pPr>
      <w:r>
        <w:rPr/>
        <w:t>Tariff Working pages issued in connection with this change are Schedule 1/1 (R.1) and CC/3 (R.1). Any queries concerning this change should be directed to Ray Banvill on (06) 275 6516.</w:t>
      </w:r>
    </w:p>
    <w:p>
      <w:pPr>
        <w:pStyle w:val="BodyText"/>
        <w:spacing w:line="241" w:lineRule="exact" w:before="2"/>
      </w:pPr>
      <w:r>
        <w:rPr/>
        <w:t>(R JANECZKO)</w:t>
      </w:r>
    </w:p>
    <w:p>
      <w:pPr>
        <w:pStyle w:val="BodyText"/>
        <w:ind w:right="8402"/>
      </w:pPr>
      <w:r>
        <w:rPr/>
        <w:t>National Manager Tariff &amp;amp; Valuation</w:t>
      </w:r>
    </w:p>
    <w:p>
      <w:pPr>
        <w:pStyle w:val="BodyText"/>
        <w:spacing w:before="10"/>
        <w:ind w:left="0"/>
        <w:rPr>
          <w:sz w:val="17"/>
        </w:rPr>
      </w:pPr>
    </w:p>
    <w:p>
      <w:pPr>
        <w:pStyle w:val="BodyText"/>
      </w:pPr>
      <w:r>
        <w:rPr/>
        <w:t>20 March 1997</w:t>
      </w:r>
    </w:p>
    <w:p>
      <w:pPr>
        <w:pStyle w:val="BodyText"/>
        <w:spacing w:before="2"/>
        <w:ind w:left="0"/>
        <w:rPr>
          <w:sz w:val="18"/>
        </w:rPr>
      </w:pPr>
    </w:p>
    <w:p>
      <w:pPr>
        <w:pStyle w:val="BodyText"/>
      </w:pPr>
      <w:r>
        <w:rPr/>
        <w:t>(Tariff Legislation: C97/01658)</w:t>
      </w:r>
    </w:p>
    <w:sectPr>
      <w:type w:val="continuous"/>
      <w:pgSz w:w="11900" w:h="16840"/>
      <w:pgMar w:top="700" w:bottom="280" w:left="6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2020-12-09T22:15:11Z</dcterms:created>
  <dcterms:modified xsi:type="dcterms:W3CDTF">2020-12-09T22:15:11Z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