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51</w:t>
      </w:r>
    </w:p>
    <w:p>
      <w:pPr>
        <w:spacing w:line="312" w:lineRule="auto" w:before="390"/>
        <w:ind w:left="100" w:right="120" w:firstLine="0"/>
        <w:jc w:val="left"/>
        <w:rPr>
          <w:b/>
          <w:sz w:val="36"/>
        </w:rPr>
      </w:pPr>
      <w:r>
        <w:rPr>
          <w:b/>
          <w:color w:val="202020"/>
          <w:sz w:val="36"/>
        </w:rPr>
        <w:t>CUSTOMS TARIFF PROPOSAL No. 4 (1997) MISCELLANEOUS AMENDMENTS TO THE CUSTOMS TARIFF ACT 1995</w:t>
      </w:r>
    </w:p>
    <w:p>
      <w:pPr>
        <w:pStyle w:val="BodyText"/>
        <w:spacing w:before="161"/>
        <w:ind w:right="2696"/>
      </w:pPr>
      <w:r>
        <w:rPr/>
        <w:t>Customs </w:t>
      </w:r>
      <w:r>
        <w:rPr>
          <w:spacing w:val="-5"/>
        </w:rPr>
        <w:t>Tariff </w:t>
      </w:r>
      <w:r>
        <w:rPr/>
        <w:t>Proposal No. 4 (1997) was tabled in the House of Representatives on 4 June 1997 by the Minister Responsible for Customs, the Hon. Geoffrey Prosser </w:t>
      </w:r>
      <w:r>
        <w:rPr>
          <w:spacing w:val="-16"/>
        </w:rPr>
        <w:t>MP.</w:t>
      </w:r>
    </w:p>
    <w:p>
      <w:pPr>
        <w:pStyle w:val="BodyText"/>
        <w:ind w:left="0"/>
        <w:rPr>
          <w:sz w:val="18"/>
        </w:rPr>
      </w:pPr>
    </w:p>
    <w:p>
      <w:pPr>
        <w:pStyle w:val="BodyText"/>
        <w:ind w:right="546"/>
      </w:pPr>
      <w:r>
        <w:rPr/>
        <w:t>This Proposal contains three changes, each of which is of a technical nature, and results from Administrative Appeals Tribunal (AAT) decisions. The alterations are operative from 1 July 1997.</w:t>
      </w:r>
    </w:p>
    <w:p>
      <w:pPr>
        <w:pStyle w:val="BodyText"/>
        <w:ind w:left="0"/>
        <w:rPr>
          <w:sz w:val="18"/>
        </w:rPr>
      </w:pPr>
    </w:p>
    <w:p>
      <w:pPr>
        <w:pStyle w:val="Heading1"/>
        <w:rPr>
          <w:u w:val="none"/>
        </w:rPr>
      </w:pPr>
      <w:r>
        <w:rPr>
          <w:u w:val="single"/>
        </w:rPr>
        <w:t>Surgical Drapes of Aseptic Paper</w:t>
      </w:r>
    </w:p>
    <w:p>
      <w:pPr>
        <w:pStyle w:val="BodyText"/>
        <w:spacing w:before="2"/>
        <w:ind w:left="0"/>
        <w:rPr>
          <w:b/>
          <w:sz w:val="18"/>
        </w:rPr>
      </w:pPr>
    </w:p>
    <w:p>
      <w:pPr>
        <w:pStyle w:val="BodyText"/>
        <w:ind w:right="120"/>
      </w:pPr>
      <w:r>
        <w:rPr/>
        <w:t>The description of goods in subparagraph (a) in subheading 4823.90.10 has been changed to read "aseptic paper, not including goods and/or articles of aseptic paper". This change confirms the previous intent that only aseptic paper and not goods of aseptic paper are classified in this subheading.</w:t>
      </w:r>
    </w:p>
    <w:p>
      <w:pPr>
        <w:pStyle w:val="BodyText"/>
        <w:spacing w:before="10"/>
        <w:ind w:left="0"/>
        <w:rPr>
          <w:sz w:val="17"/>
        </w:rPr>
      </w:pPr>
    </w:p>
    <w:p>
      <w:pPr>
        <w:pStyle w:val="Heading1"/>
        <w:rPr>
          <w:u w:val="none"/>
        </w:rPr>
      </w:pPr>
      <w:r>
        <w:rPr>
          <w:u w:val="single"/>
        </w:rPr>
        <w:t>Lamps of Heading 9405</w:t>
      </w:r>
    </w:p>
    <w:p>
      <w:pPr>
        <w:pStyle w:val="BodyText"/>
        <w:spacing w:before="1"/>
        <w:ind w:left="0"/>
        <w:rPr>
          <w:b/>
          <w:sz w:val="18"/>
        </w:rPr>
      </w:pPr>
    </w:p>
    <w:p>
      <w:pPr>
        <w:pStyle w:val="BodyText"/>
        <w:spacing w:before="1"/>
        <w:ind w:right="126"/>
      </w:pPr>
      <w:r>
        <w:rPr/>
        <w:t>A recent AAT case determined that certain lamps were classified in Chapter 85. Australia is a contracting party to the Harmonized Commodity Description and Coding System and must comply with classification rulings of the World Customs Organization (WCO). The Australian Customs Service contacted the WCO who confirmed that the goods in question were classified within heading 9405.</w:t>
      </w:r>
    </w:p>
    <w:p>
      <w:pPr>
        <w:pStyle w:val="BodyText"/>
        <w:spacing w:before="8"/>
        <w:ind w:left="0"/>
        <w:rPr>
          <w:sz w:val="17"/>
        </w:rPr>
      </w:pPr>
    </w:p>
    <w:p>
      <w:pPr>
        <w:spacing w:line="446" w:lineRule="auto" w:before="0"/>
        <w:ind w:left="100" w:right="1345" w:firstLine="0"/>
        <w:jc w:val="left"/>
        <w:rPr>
          <w:b/>
          <w:sz w:val="21"/>
        </w:rPr>
      </w:pPr>
      <w:r>
        <w:rPr>
          <w:sz w:val="21"/>
        </w:rPr>
        <w:t>To clarify the classification of lamps a new Additional Note 2 has been inserted in Chapter 85. </w:t>
      </w:r>
      <w:r>
        <w:rPr>
          <w:b/>
          <w:sz w:val="21"/>
          <w:u w:val="single"/>
        </w:rPr>
        <w:t>Power Supply Units for Computers</w:t>
      </w:r>
    </w:p>
    <w:p>
      <w:pPr>
        <w:pStyle w:val="BodyText"/>
        <w:spacing w:before="2"/>
        <w:ind w:right="224"/>
        <w:jc w:val="both"/>
      </w:pPr>
      <w:r>
        <w:rPr/>
        <w:t>In 1991, the </w:t>
      </w:r>
      <w:r>
        <w:rPr>
          <w:spacing w:val="-6"/>
        </w:rPr>
        <w:t>AAT </w:t>
      </w:r>
      <w:r>
        <w:rPr/>
        <w:t>ruled that power supply units which are "separately housed units, designed to be housed in </w:t>
      </w:r>
      <w:r>
        <w:rPr>
          <w:spacing w:val="-6"/>
        </w:rPr>
        <w:t>the </w:t>
      </w:r>
      <w:r>
        <w:rPr/>
        <w:t>same cabinet as the central processing unit" should be classified in heading 8471 which had a Free rate of </w:t>
      </w:r>
      <w:r>
        <w:rPr>
          <w:spacing w:val="-4"/>
        </w:rPr>
        <w:t>duty. </w:t>
      </w:r>
      <w:r>
        <w:rPr/>
        <w:t>The ACS accepted this decision.</w:t>
      </w:r>
    </w:p>
    <w:p>
      <w:pPr>
        <w:pStyle w:val="BodyText"/>
        <w:spacing w:before="10"/>
        <w:ind w:left="0"/>
        <w:rPr>
          <w:sz w:val="17"/>
        </w:rPr>
      </w:pPr>
    </w:p>
    <w:p>
      <w:pPr>
        <w:pStyle w:val="BodyText"/>
        <w:ind w:right="132"/>
        <w:jc w:val="both"/>
      </w:pPr>
      <w:r>
        <w:rPr/>
        <w:t>In 1996, the WCO recommended a number of classification changes, including one related to power supply units. These reverted to subheading 8504.40. In the 1996 rewrite of the Customs Tariff, the WCO recommendation was incorporated in a new tariff split 8504.40.10 with the transferred Free rate of duty.</w:t>
      </w:r>
    </w:p>
    <w:p>
      <w:pPr>
        <w:pStyle w:val="BodyText"/>
        <w:spacing w:before="10"/>
        <w:ind w:left="0"/>
        <w:rPr>
          <w:sz w:val="17"/>
        </w:rPr>
      </w:pPr>
    </w:p>
    <w:p>
      <w:pPr>
        <w:pStyle w:val="BodyText"/>
      </w:pPr>
      <w:r>
        <w:rPr/>
        <w:t>The description of goods of the new subheading "designed for use with equipment of 8471" has proven to encompass more goods than the AAT decision envisaged. A change to the description has been made to limit the goods classified in 8504.40.10 to "separately housed units, designed to be housed in the same cabinet as the central processing unit of equipment of 8471".</w:t>
      </w:r>
    </w:p>
    <w:p>
      <w:pPr>
        <w:pStyle w:val="BodyText"/>
        <w:spacing w:before="8"/>
        <w:ind w:left="0"/>
        <w:rPr>
          <w:sz w:val="17"/>
        </w:rPr>
      </w:pPr>
    </w:p>
    <w:p>
      <w:pPr>
        <w:pStyle w:val="BodyText"/>
        <w:spacing w:before="1"/>
      </w:pPr>
      <w:r>
        <w:rPr/>
        <w:t>Tariff reprint pages are being prepared and will be despatched to subscribers during the week commencing 16 June 1997.</w:t>
      </w:r>
    </w:p>
    <w:p>
      <w:pPr>
        <w:pStyle w:val="BodyText"/>
        <w:spacing w:line="450" w:lineRule="exact" w:before="44"/>
        <w:ind w:right="4188"/>
      </w:pPr>
      <w:r>
        <w:rPr/>
        <w:t>Any queries should be directed to </w:t>
      </w:r>
      <w:r>
        <w:rPr>
          <w:b/>
        </w:rPr>
        <w:t>Roger Howland </w:t>
      </w:r>
      <w:r>
        <w:rPr/>
        <w:t>on (06) 275 6465. Lucy Bitmead</w:t>
      </w:r>
    </w:p>
    <w:p>
      <w:pPr>
        <w:pStyle w:val="BodyText"/>
        <w:spacing w:line="194" w:lineRule="exact"/>
        <w:jc w:val="both"/>
      </w:pPr>
      <w:r>
        <w:rPr/>
        <w:t>Acting National Manager</w:t>
      </w:r>
    </w:p>
    <w:p>
      <w:pPr>
        <w:pStyle w:val="BodyText"/>
        <w:spacing w:line="241" w:lineRule="exact"/>
        <w:jc w:val="both"/>
      </w:pPr>
      <w:r>
        <w:rPr/>
        <w:t>Tariff, Valuation and Origin</w:t>
      </w:r>
    </w:p>
    <w:p>
      <w:pPr>
        <w:pStyle w:val="BodyText"/>
        <w:spacing w:before="1"/>
        <w:ind w:left="0"/>
        <w:rPr>
          <w:sz w:val="18"/>
        </w:rPr>
      </w:pPr>
    </w:p>
    <w:p>
      <w:pPr>
        <w:pStyle w:val="BodyText"/>
        <w:ind w:right="6703"/>
      </w:pPr>
      <w:r>
        <w:rPr/>
        <w:t>for the Chief Executive Officer CANBERRA ACT 2601</w:t>
      </w:r>
    </w:p>
    <w:p>
      <w:pPr>
        <w:pStyle w:val="BodyText"/>
        <w:ind w:left="0"/>
        <w:rPr>
          <w:sz w:val="18"/>
        </w:rPr>
      </w:pPr>
    </w:p>
    <w:p>
      <w:pPr>
        <w:pStyle w:val="BodyText"/>
        <w:jc w:val="both"/>
      </w:pPr>
      <w:r>
        <w:rPr/>
        <w:t>12 June 1997</w:t>
      </w:r>
    </w:p>
    <w:p>
      <w:pPr>
        <w:pStyle w:val="BodyText"/>
        <w:spacing w:before="2"/>
        <w:ind w:left="0"/>
        <w:rPr>
          <w:sz w:val="18"/>
        </w:rPr>
      </w:pPr>
    </w:p>
    <w:p>
      <w:pPr>
        <w:pStyle w:val="BodyText"/>
        <w:jc w:val="both"/>
      </w:pPr>
      <w:r>
        <w:rPr/>
        <w:t>(Tariff Legislation - C97/04433)</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u w:val="single" w:color="000000"/>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2020-12-09T22:59:57Z</dcterms:created>
  <dcterms:modified xsi:type="dcterms:W3CDTF">2020-12-09T22:59:57Z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