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52</w:t>
      </w:r>
    </w:p>
    <w:p>
      <w:pPr>
        <w:spacing w:before="357"/>
        <w:ind w:left="108" w:right="0" w:firstLine="0"/>
        <w:jc w:val="left"/>
        <w:rPr>
          <w:b/>
          <w:sz w:val="32"/>
        </w:rPr>
      </w:pPr>
      <w:r>
        <w:rPr>
          <w:b/>
          <w:color w:val="202020"/>
          <w:sz w:val="32"/>
        </w:rPr>
        <w:t>REVOCATION OF CERTAIN ITEM 47 BY-LAWS</w:t>
      </w:r>
    </w:p>
    <w:p>
      <w:pPr>
        <w:pStyle w:val="BodyText"/>
        <w:spacing w:before="254"/>
      </w:pPr>
      <w:r>
        <w:rPr/>
        <w:t>A recent review of the Policy By-law items identified certain by-laws currently written to item 47 that do not meet the policy intent for that item and should be revoked.</w:t>
      </w:r>
    </w:p>
    <w:p>
      <w:pPr>
        <w:pStyle w:val="BodyText"/>
        <w:spacing w:before="5"/>
        <w:ind w:left="0"/>
        <w:rPr>
          <w:sz w:val="16"/>
        </w:rPr>
      </w:pPr>
    </w:p>
    <w:p>
      <w:pPr>
        <w:pStyle w:val="BodyText"/>
        <w:spacing w:line="237" w:lineRule="auto"/>
        <w:ind w:right="168"/>
      </w:pPr>
      <w:r>
        <w:rPr/>
        <w:t>Item 47 was introduced as part of the then Government's response to the Industries Assistance Commission's Report into the Mining, Construction and Agriculture Equipment Industries, and was intended to only cover goods covered by that Report. The by-laws listed below do not meet this intent.</w:t>
      </w:r>
    </w:p>
    <w:p>
      <w:pPr>
        <w:pStyle w:val="BodyText"/>
        <w:spacing w:before="6"/>
        <w:ind w:left="0"/>
        <w:rPr>
          <w:sz w:val="16"/>
        </w:rPr>
      </w:pPr>
    </w:p>
    <w:p>
      <w:pPr>
        <w:pStyle w:val="BodyText"/>
        <w:spacing w:line="237" w:lineRule="auto"/>
        <w:ind w:right="395"/>
      </w:pPr>
      <w:r>
        <w:rPr/>
        <w:t>While revocation of by-laws is normally done immediately, it has been decided that, as these by-laws are linked to </w:t>
      </w:r>
      <w:r>
        <w:rPr>
          <w:spacing w:val="-5"/>
        </w:rPr>
        <w:t>Tariff </w:t>
      </w:r>
      <w:r>
        <w:rPr/>
        <w:t>Concession Orders, a 28 day "in transit" period will be given to allow goods in warehouse or on the water to be cleared using the by-laws.</w:t>
      </w:r>
    </w:p>
    <w:p>
      <w:pPr>
        <w:pStyle w:val="BodyText"/>
        <w:spacing w:before="4"/>
        <w:ind w:left="0"/>
        <w:rPr>
          <w:sz w:val="16"/>
        </w:rPr>
      </w:pPr>
    </w:p>
    <w:p>
      <w:pPr>
        <w:pStyle w:val="BodyText"/>
        <w:spacing w:line="446" w:lineRule="auto"/>
        <w:ind w:right="958"/>
      </w:pPr>
      <w:r>
        <w:rPr/>
        <w:t>Accordingly, by notice published in the Gazette of 11 June 1997, the by-laws were revoked, with a last operative day of 9 July 1997. A copy of the revocation notice is attached. The by-laws involved are:</w: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373"/>
        <w:gridCol w:w="297"/>
        <w:gridCol w:w="13920"/>
      </w:tblGrid>
      <w:tr>
        <w:trPr>
          <w:trHeight w:val="593" w:hRule="atLeast"/>
        </w:trPr>
        <w:tc>
          <w:tcPr>
            <w:tcW w:w="1373" w:type="dxa"/>
            <w:tcBorders>
              <w:left w:val="nil"/>
            </w:tcBorders>
          </w:tcPr>
          <w:p>
            <w:pPr>
              <w:pStyle w:val="TableParagraph"/>
              <w:rPr>
                <w:sz w:val="19"/>
              </w:rPr>
            </w:pPr>
            <w:r>
              <w:rPr>
                <w:color w:val="202020"/>
                <w:sz w:val="19"/>
              </w:rPr>
              <w:t>9040041</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Transmission apparatus</w:t>
            </w:r>
          </w:p>
        </w:tc>
      </w:tr>
      <w:tr>
        <w:trPr>
          <w:trHeight w:val="593" w:hRule="atLeast"/>
        </w:trPr>
        <w:tc>
          <w:tcPr>
            <w:tcW w:w="1373" w:type="dxa"/>
            <w:tcBorders>
              <w:left w:val="nil"/>
            </w:tcBorders>
          </w:tcPr>
          <w:p>
            <w:pPr>
              <w:pStyle w:val="TableParagraph"/>
              <w:rPr>
                <w:sz w:val="19"/>
              </w:rPr>
            </w:pPr>
            <w:r>
              <w:rPr>
                <w:color w:val="202020"/>
                <w:sz w:val="19"/>
              </w:rPr>
              <w:t>9140010</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Scanning receivers</w:t>
            </w:r>
          </w:p>
        </w:tc>
      </w:tr>
      <w:tr>
        <w:trPr>
          <w:trHeight w:val="593" w:hRule="atLeast"/>
        </w:trPr>
        <w:tc>
          <w:tcPr>
            <w:tcW w:w="1373" w:type="dxa"/>
            <w:tcBorders>
              <w:left w:val="nil"/>
            </w:tcBorders>
          </w:tcPr>
          <w:p>
            <w:pPr>
              <w:pStyle w:val="TableParagraph"/>
              <w:rPr>
                <w:sz w:val="19"/>
              </w:rPr>
            </w:pPr>
            <w:r>
              <w:rPr>
                <w:color w:val="202020"/>
                <w:sz w:val="19"/>
              </w:rPr>
              <w:t>9140058</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Music systems</w:t>
            </w:r>
          </w:p>
        </w:tc>
      </w:tr>
      <w:tr>
        <w:trPr>
          <w:trHeight w:val="593" w:hRule="atLeast"/>
        </w:trPr>
        <w:tc>
          <w:tcPr>
            <w:tcW w:w="1373" w:type="dxa"/>
            <w:tcBorders>
              <w:left w:val="nil"/>
            </w:tcBorders>
          </w:tcPr>
          <w:p>
            <w:pPr>
              <w:pStyle w:val="TableParagraph"/>
              <w:rPr>
                <w:sz w:val="19"/>
              </w:rPr>
            </w:pPr>
            <w:r>
              <w:rPr>
                <w:color w:val="202020"/>
                <w:sz w:val="19"/>
              </w:rPr>
              <w:t>9140093</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Music systems</w:t>
            </w:r>
          </w:p>
        </w:tc>
      </w:tr>
      <w:tr>
        <w:trPr>
          <w:trHeight w:val="593" w:hRule="atLeast"/>
        </w:trPr>
        <w:tc>
          <w:tcPr>
            <w:tcW w:w="1373" w:type="dxa"/>
            <w:tcBorders>
              <w:left w:val="nil"/>
            </w:tcBorders>
          </w:tcPr>
          <w:p>
            <w:pPr>
              <w:pStyle w:val="TableParagraph"/>
              <w:rPr>
                <w:sz w:val="19"/>
              </w:rPr>
            </w:pPr>
            <w:r>
              <w:rPr>
                <w:color w:val="202020"/>
                <w:sz w:val="19"/>
              </w:rPr>
              <w:t>9240032</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Radio positioning systems</w:t>
            </w:r>
          </w:p>
        </w:tc>
      </w:tr>
      <w:tr>
        <w:trPr>
          <w:trHeight w:val="593" w:hRule="atLeast"/>
        </w:trPr>
        <w:tc>
          <w:tcPr>
            <w:tcW w:w="1373" w:type="dxa"/>
            <w:tcBorders>
              <w:left w:val="nil"/>
            </w:tcBorders>
          </w:tcPr>
          <w:p>
            <w:pPr>
              <w:pStyle w:val="TableParagraph"/>
              <w:rPr>
                <w:sz w:val="19"/>
              </w:rPr>
            </w:pPr>
            <w:r>
              <w:rPr>
                <w:color w:val="202020"/>
                <w:sz w:val="19"/>
              </w:rPr>
              <w:t>9240043</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Transmission apparatus</w:t>
            </w:r>
          </w:p>
        </w:tc>
      </w:tr>
      <w:tr>
        <w:trPr>
          <w:trHeight w:val="593" w:hRule="atLeast"/>
        </w:trPr>
        <w:tc>
          <w:tcPr>
            <w:tcW w:w="1373" w:type="dxa"/>
            <w:tcBorders>
              <w:left w:val="nil"/>
            </w:tcBorders>
          </w:tcPr>
          <w:p>
            <w:pPr>
              <w:pStyle w:val="TableParagraph"/>
              <w:rPr>
                <w:sz w:val="19"/>
              </w:rPr>
            </w:pPr>
            <w:r>
              <w:rPr>
                <w:color w:val="202020"/>
                <w:sz w:val="19"/>
              </w:rPr>
              <w:t>9240066</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Scanning tuners</w:t>
            </w:r>
          </w:p>
        </w:tc>
      </w:tr>
      <w:tr>
        <w:trPr>
          <w:trHeight w:val="593" w:hRule="atLeast"/>
        </w:trPr>
        <w:tc>
          <w:tcPr>
            <w:tcW w:w="1373" w:type="dxa"/>
            <w:tcBorders>
              <w:left w:val="nil"/>
            </w:tcBorders>
          </w:tcPr>
          <w:p>
            <w:pPr>
              <w:pStyle w:val="TableParagraph"/>
              <w:rPr>
                <w:sz w:val="19"/>
              </w:rPr>
            </w:pPr>
            <w:r>
              <w:rPr>
                <w:color w:val="202020"/>
                <w:sz w:val="19"/>
              </w:rPr>
              <w:t>9240067</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Scanning communication receivers</w:t>
            </w:r>
          </w:p>
        </w:tc>
      </w:tr>
      <w:tr>
        <w:trPr>
          <w:trHeight w:val="593" w:hRule="atLeast"/>
        </w:trPr>
        <w:tc>
          <w:tcPr>
            <w:tcW w:w="1373" w:type="dxa"/>
            <w:tcBorders>
              <w:left w:val="nil"/>
            </w:tcBorders>
          </w:tcPr>
          <w:p>
            <w:pPr>
              <w:pStyle w:val="TableParagraph"/>
              <w:rPr>
                <w:sz w:val="19"/>
              </w:rPr>
            </w:pPr>
            <w:r>
              <w:rPr>
                <w:color w:val="202020"/>
                <w:sz w:val="19"/>
              </w:rPr>
              <w:t>9240094</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Oil vapour diffusion type vacuum pumps</w:t>
            </w:r>
          </w:p>
        </w:tc>
      </w:tr>
      <w:tr>
        <w:trPr>
          <w:trHeight w:val="593" w:hRule="atLeast"/>
        </w:trPr>
        <w:tc>
          <w:tcPr>
            <w:tcW w:w="1373" w:type="dxa"/>
            <w:tcBorders>
              <w:left w:val="nil"/>
            </w:tcBorders>
          </w:tcPr>
          <w:p>
            <w:pPr>
              <w:pStyle w:val="TableParagraph"/>
              <w:rPr>
                <w:sz w:val="19"/>
              </w:rPr>
            </w:pPr>
            <w:r>
              <w:rPr>
                <w:color w:val="202020"/>
                <w:sz w:val="19"/>
              </w:rPr>
              <w:t>9340060</w:t>
            </w:r>
          </w:p>
        </w:tc>
        <w:tc>
          <w:tcPr>
            <w:tcW w:w="297" w:type="dxa"/>
          </w:tcPr>
          <w:p>
            <w:pPr>
              <w:pStyle w:val="TableParagraph"/>
              <w:spacing w:before="0"/>
              <w:ind w:left="0"/>
              <w:rPr>
                <w:rFonts w:ascii="Times New Roman"/>
                <w:sz w:val="18"/>
              </w:rPr>
            </w:pPr>
          </w:p>
        </w:tc>
        <w:tc>
          <w:tcPr>
            <w:tcW w:w="13920" w:type="dxa"/>
            <w:tcBorders>
              <w:right w:val="nil"/>
            </w:tcBorders>
          </w:tcPr>
          <w:p>
            <w:pPr>
              <w:pStyle w:val="TableParagraph"/>
              <w:rPr>
                <w:sz w:val="19"/>
              </w:rPr>
            </w:pPr>
            <w:r>
              <w:rPr>
                <w:color w:val="202020"/>
                <w:sz w:val="19"/>
              </w:rPr>
              <w:t>Radio, television and communications equipment</w:t>
            </w:r>
          </w:p>
        </w:tc>
      </w:tr>
      <w:tr>
        <w:trPr>
          <w:trHeight w:val="572" w:hRule="atLeast"/>
        </w:trPr>
        <w:tc>
          <w:tcPr>
            <w:tcW w:w="1373" w:type="dxa"/>
            <w:tcBorders>
              <w:left w:val="nil"/>
              <w:bottom w:val="nil"/>
            </w:tcBorders>
          </w:tcPr>
          <w:p>
            <w:pPr>
              <w:pStyle w:val="TableParagraph"/>
              <w:rPr>
                <w:sz w:val="19"/>
              </w:rPr>
            </w:pPr>
            <w:r>
              <w:rPr>
                <w:color w:val="202020"/>
                <w:sz w:val="19"/>
              </w:rPr>
              <w:t>9440011</w:t>
            </w:r>
          </w:p>
        </w:tc>
        <w:tc>
          <w:tcPr>
            <w:tcW w:w="297" w:type="dxa"/>
            <w:tcBorders>
              <w:bottom w:val="nil"/>
            </w:tcBorders>
          </w:tcPr>
          <w:p>
            <w:pPr>
              <w:pStyle w:val="TableParagraph"/>
              <w:spacing w:before="0"/>
              <w:ind w:left="0"/>
              <w:rPr>
                <w:rFonts w:ascii="Times New Roman"/>
                <w:sz w:val="18"/>
              </w:rPr>
            </w:pPr>
          </w:p>
        </w:tc>
        <w:tc>
          <w:tcPr>
            <w:tcW w:w="13920" w:type="dxa"/>
            <w:tcBorders>
              <w:bottom w:val="nil"/>
              <w:right w:val="nil"/>
            </w:tcBorders>
          </w:tcPr>
          <w:p>
            <w:pPr>
              <w:pStyle w:val="TableParagraph"/>
              <w:rPr>
                <w:sz w:val="19"/>
              </w:rPr>
            </w:pPr>
            <w:r>
              <w:rPr>
                <w:color w:val="202020"/>
                <w:sz w:val="19"/>
              </w:rPr>
              <w:t>Programmable assembly machines, designed for surface mounting of components onto printed circuits boards</w:t>
            </w:r>
          </w:p>
        </w:tc>
      </w:tr>
    </w:tbl>
    <w:p>
      <w:pPr>
        <w:spacing w:after="0"/>
        <w:rPr>
          <w:sz w:val="19"/>
        </w:rPr>
        <w:sectPr>
          <w:type w:val="continuous"/>
          <w:pgSz w:w="16840" w:h="11900" w:orient="landscape"/>
          <w:pgMar w:top="680" w:bottom="280" w:left="580" w:right="440"/>
        </w:sectPr>
      </w:pPr>
    </w:p>
    <w:tbl>
      <w:tblPr>
        <w:tblW w:w="0" w:type="auto"/>
        <w:jc w:val="left"/>
        <w:tblInd w:w="108" w:type="dxa"/>
        <w:tblBorders>
          <w:top w:val="single" w:sz="2" w:space="0" w:color="C8C8C8"/>
          <w:left w:val="single" w:sz="2" w:space="0" w:color="C8C8C8"/>
          <w:bottom w:val="single" w:sz="2" w:space="0" w:color="C8C8C8"/>
          <w:right w:val="single" w:sz="2" w:space="0" w:color="C8C8C8"/>
          <w:insideH w:val="single" w:sz="2" w:space="0" w:color="C8C8C8"/>
          <w:insideV w:val="single" w:sz="2" w:space="0" w:color="C8C8C8"/>
        </w:tblBorders>
        <w:tblLayout w:type="fixed"/>
        <w:tblCellMar>
          <w:top w:w="0" w:type="dxa"/>
          <w:left w:w="0" w:type="dxa"/>
          <w:bottom w:w="0" w:type="dxa"/>
          <w:right w:w="0" w:type="dxa"/>
        </w:tblCellMar>
        <w:tblLook w:val="01E0"/>
      </w:tblPr>
      <w:tblGrid>
        <w:gridCol w:w="1373"/>
        <w:gridCol w:w="297"/>
        <w:gridCol w:w="13920"/>
      </w:tblGrid>
      <w:tr>
        <w:trPr>
          <w:trHeight w:val="592" w:hRule="atLeast"/>
        </w:trPr>
        <w:tc>
          <w:tcPr>
            <w:tcW w:w="1373" w:type="dxa"/>
            <w:tcBorders>
              <w:left w:val="nil"/>
              <w:bottom w:val="single" w:sz="6" w:space="0" w:color="C8C8C8"/>
              <w:right w:val="single" w:sz="6" w:space="0" w:color="C8C8C8"/>
            </w:tcBorders>
          </w:tcPr>
          <w:p>
            <w:pPr>
              <w:pStyle w:val="TableParagraph"/>
              <w:spacing w:before="90"/>
              <w:rPr>
                <w:sz w:val="19"/>
              </w:rPr>
            </w:pPr>
            <w:r>
              <w:rPr>
                <w:color w:val="202020"/>
                <w:sz w:val="19"/>
              </w:rPr>
              <w:t>9440025</w:t>
            </w:r>
          </w:p>
        </w:tc>
        <w:tc>
          <w:tcPr>
            <w:tcW w:w="297" w:type="dxa"/>
            <w:tcBorders>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13920" w:type="dxa"/>
            <w:tcBorders>
              <w:left w:val="single" w:sz="6" w:space="0" w:color="C8C8C8"/>
              <w:bottom w:val="single" w:sz="6" w:space="0" w:color="C8C8C8"/>
              <w:right w:val="nil"/>
            </w:tcBorders>
          </w:tcPr>
          <w:p>
            <w:pPr>
              <w:pStyle w:val="TableParagraph"/>
              <w:spacing w:before="90"/>
              <w:rPr>
                <w:sz w:val="19"/>
              </w:rPr>
            </w:pPr>
            <w:r>
              <w:rPr>
                <w:color w:val="202020"/>
                <w:sz w:val="19"/>
              </w:rPr>
              <w:t>Television translators</w:t>
            </w:r>
          </w:p>
        </w:tc>
      </w:tr>
    </w:tbl>
    <w:p>
      <w:pPr>
        <w:pStyle w:val="BodyText"/>
        <w:spacing w:before="1"/>
        <w:ind w:left="0"/>
        <w:rPr>
          <w:sz w:val="8"/>
        </w:rPr>
      </w:pPr>
    </w:p>
    <w:p>
      <w:pPr>
        <w:pStyle w:val="BodyText"/>
        <w:spacing w:before="94"/>
      </w:pPr>
      <w:r>
        <w:rPr/>
        <w:t>Enquiries regarding the revocation may be addressed to </w:t>
      </w:r>
      <w:r>
        <w:rPr>
          <w:b/>
        </w:rPr>
        <w:t>Ian McDonald, </w:t>
      </w:r>
      <w:r>
        <w:rPr/>
        <w:t>on (06) 275-6503.</w:t>
      </w:r>
    </w:p>
    <w:p>
      <w:pPr>
        <w:pStyle w:val="BodyText"/>
        <w:spacing w:before="3"/>
        <w:ind w:left="0"/>
        <w:rPr>
          <w:sz w:val="16"/>
        </w:rPr>
      </w:pPr>
    </w:p>
    <w:p>
      <w:pPr>
        <w:pStyle w:val="BodyText"/>
        <w:spacing w:line="217" w:lineRule="exact"/>
      </w:pPr>
      <w:r>
        <w:rPr/>
        <w:t>(MARION GRANT)</w:t>
      </w:r>
    </w:p>
    <w:p>
      <w:pPr>
        <w:pStyle w:val="BodyText"/>
        <w:spacing w:line="217" w:lineRule="exact"/>
      </w:pPr>
      <w:r>
        <w:rPr/>
        <w:t>National Manager, Industry</w:t>
      </w:r>
    </w:p>
    <w:p>
      <w:pPr>
        <w:pStyle w:val="BodyText"/>
        <w:spacing w:before="3"/>
        <w:ind w:left="0"/>
        <w:rPr>
          <w:sz w:val="16"/>
        </w:rPr>
      </w:pPr>
    </w:p>
    <w:p>
      <w:pPr>
        <w:pStyle w:val="BodyText"/>
        <w:spacing w:line="217" w:lineRule="exact" w:before="1"/>
      </w:pPr>
      <w:r>
        <w:rPr/>
        <w:t>for</w:t>
      </w:r>
    </w:p>
    <w:p>
      <w:pPr>
        <w:pStyle w:val="BodyText"/>
        <w:spacing w:line="237" w:lineRule="auto"/>
        <w:ind w:right="12743"/>
      </w:pPr>
      <w:r>
        <w:rPr/>
        <w:t>Chief Executive Officer CANBERRA ACT 2601</w:t>
      </w:r>
    </w:p>
    <w:p>
      <w:pPr>
        <w:pStyle w:val="BodyText"/>
        <w:spacing w:before="4"/>
        <w:ind w:left="0"/>
        <w:rPr>
          <w:sz w:val="16"/>
        </w:rPr>
      </w:pPr>
    </w:p>
    <w:p>
      <w:pPr>
        <w:pStyle w:val="BodyText"/>
      </w:pPr>
      <w:r>
        <w:rPr/>
        <w:t>11 June 1997</w:t>
      </w:r>
    </w:p>
    <w:p>
      <w:pPr>
        <w:pStyle w:val="BodyText"/>
        <w:spacing w:before="3"/>
        <w:ind w:left="0"/>
        <w:rPr>
          <w:sz w:val="16"/>
        </w:rPr>
      </w:pPr>
    </w:p>
    <w:p>
      <w:pPr>
        <w:spacing w:before="1"/>
        <w:ind w:left="108" w:right="0" w:firstLine="0"/>
        <w:jc w:val="left"/>
        <w:rPr>
          <w:b/>
          <w:sz w:val="19"/>
        </w:rPr>
      </w:pPr>
      <w:r>
        <w:rPr>
          <w:b/>
          <w:sz w:val="19"/>
        </w:rPr>
        <w:t>NOTICE OF REVOCATION OF CUSTOMS BY-LAWS</w:t>
      </w:r>
    </w:p>
    <w:p>
      <w:pPr>
        <w:pStyle w:val="BodyText"/>
        <w:spacing w:before="5"/>
        <w:ind w:left="0"/>
        <w:rPr>
          <w:b/>
          <w:sz w:val="16"/>
        </w:rPr>
      </w:pPr>
    </w:p>
    <w:p>
      <w:pPr>
        <w:pStyle w:val="BodyText"/>
        <w:spacing w:line="237" w:lineRule="auto"/>
        <w:ind w:right="470"/>
      </w:pPr>
      <w:r>
        <w:rPr/>
        <w:t>I, MARION ESTELLE </w:t>
      </w:r>
      <w:r>
        <w:rPr>
          <w:spacing w:val="-4"/>
        </w:rPr>
        <w:t>GRANT, </w:t>
      </w:r>
      <w:r>
        <w:rPr/>
        <w:t>delegate of the Chief Executive Officer, pursuant to subsection 33(3) of the </w:t>
      </w:r>
      <w:r>
        <w:rPr>
          <w:i/>
        </w:rPr>
        <w:t>Acts Interpretation Act 1901</w:t>
      </w:r>
      <w:r>
        <w:rPr/>
        <w:t>, hereby revoke the following Customs By-laws written to item 47 in Schedule 4 to the </w:t>
      </w:r>
      <w:r>
        <w:rPr>
          <w:i/>
        </w:rPr>
        <w:t>Customs </w:t>
      </w:r>
      <w:r>
        <w:rPr>
          <w:i/>
          <w:spacing w:val="-3"/>
        </w:rPr>
        <w:t>Tariff </w:t>
      </w:r>
      <w:r>
        <w:rPr>
          <w:i/>
        </w:rPr>
        <w:t>Act 1987 </w:t>
      </w:r>
      <w:r>
        <w:rPr/>
        <w:t>and published in the following Commonwealth of Australia Gazettes:</w:t>
      </w:r>
    </w:p>
    <w:p>
      <w:pPr>
        <w:pStyle w:val="BodyText"/>
        <w:spacing w:before="6"/>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375"/>
        <w:gridCol w:w="12216"/>
      </w:tblGrid>
      <w:tr>
        <w:trPr>
          <w:trHeight w:val="593" w:hRule="atLeast"/>
        </w:trPr>
        <w:tc>
          <w:tcPr>
            <w:tcW w:w="3375" w:type="dxa"/>
            <w:tcBorders>
              <w:left w:val="nil"/>
            </w:tcBorders>
          </w:tcPr>
          <w:p>
            <w:pPr>
              <w:pStyle w:val="TableParagraph"/>
              <w:rPr>
                <w:b/>
                <w:sz w:val="19"/>
              </w:rPr>
            </w:pPr>
            <w:r>
              <w:rPr>
                <w:b/>
                <w:color w:val="202020"/>
                <w:sz w:val="19"/>
                <w:u w:val="single" w:color="202020"/>
              </w:rPr>
              <w:t>By-law No.</w:t>
            </w:r>
          </w:p>
        </w:tc>
        <w:tc>
          <w:tcPr>
            <w:tcW w:w="12216" w:type="dxa"/>
            <w:tcBorders>
              <w:right w:val="nil"/>
            </w:tcBorders>
          </w:tcPr>
          <w:p>
            <w:pPr>
              <w:pStyle w:val="TableParagraph"/>
              <w:rPr>
                <w:b/>
                <w:sz w:val="19"/>
              </w:rPr>
            </w:pPr>
            <w:r>
              <w:rPr>
                <w:b/>
                <w:color w:val="202020"/>
                <w:sz w:val="19"/>
                <w:u w:val="single" w:color="202020"/>
              </w:rPr>
              <w:t>Number and Date of Commonwealth Gazette</w:t>
            </w:r>
          </w:p>
        </w:tc>
      </w:tr>
      <w:tr>
        <w:trPr>
          <w:trHeight w:val="377" w:hRule="atLeast"/>
        </w:trPr>
        <w:tc>
          <w:tcPr>
            <w:tcW w:w="3375" w:type="dxa"/>
            <w:tcBorders>
              <w:left w:val="nil"/>
            </w:tcBorders>
          </w:tcPr>
          <w:p>
            <w:pPr>
              <w:pStyle w:val="TableParagraph"/>
              <w:spacing w:before="0"/>
              <w:ind w:left="0"/>
              <w:rPr>
                <w:rFonts w:ascii="Times New Roman"/>
                <w:sz w:val="18"/>
              </w:rPr>
            </w:pPr>
          </w:p>
        </w:tc>
        <w:tc>
          <w:tcPr>
            <w:tcW w:w="12216" w:type="dxa"/>
            <w:tcBorders>
              <w:right w:val="nil"/>
            </w:tcBorders>
          </w:tcPr>
          <w:p>
            <w:pPr>
              <w:pStyle w:val="TableParagraph"/>
              <w:spacing w:before="0"/>
              <w:ind w:left="0"/>
              <w:rPr>
                <w:rFonts w:ascii="Times New Roman"/>
                <w:sz w:val="18"/>
              </w:rPr>
            </w:pPr>
          </w:p>
        </w:tc>
      </w:tr>
      <w:tr>
        <w:trPr>
          <w:trHeight w:val="593" w:hRule="atLeast"/>
        </w:trPr>
        <w:tc>
          <w:tcPr>
            <w:tcW w:w="3375" w:type="dxa"/>
            <w:tcBorders>
              <w:left w:val="nil"/>
            </w:tcBorders>
          </w:tcPr>
          <w:p>
            <w:pPr>
              <w:pStyle w:val="TableParagraph"/>
              <w:rPr>
                <w:sz w:val="19"/>
              </w:rPr>
            </w:pPr>
            <w:r>
              <w:rPr>
                <w:color w:val="202020"/>
                <w:sz w:val="19"/>
              </w:rPr>
              <w:t>9040041</w:t>
            </w:r>
          </w:p>
        </w:tc>
        <w:tc>
          <w:tcPr>
            <w:tcW w:w="12216" w:type="dxa"/>
            <w:tcBorders>
              <w:right w:val="nil"/>
            </w:tcBorders>
          </w:tcPr>
          <w:p>
            <w:pPr>
              <w:pStyle w:val="TableParagraph"/>
              <w:rPr>
                <w:sz w:val="19"/>
              </w:rPr>
            </w:pPr>
            <w:r>
              <w:rPr>
                <w:color w:val="202020"/>
                <w:sz w:val="19"/>
              </w:rPr>
              <w:t>GN 46 of 21 November 1990</w:t>
            </w:r>
          </w:p>
        </w:tc>
      </w:tr>
      <w:tr>
        <w:trPr>
          <w:trHeight w:val="593" w:hRule="atLeast"/>
        </w:trPr>
        <w:tc>
          <w:tcPr>
            <w:tcW w:w="3375" w:type="dxa"/>
            <w:tcBorders>
              <w:left w:val="nil"/>
            </w:tcBorders>
          </w:tcPr>
          <w:p>
            <w:pPr>
              <w:pStyle w:val="TableParagraph"/>
              <w:rPr>
                <w:sz w:val="19"/>
              </w:rPr>
            </w:pPr>
            <w:r>
              <w:rPr>
                <w:color w:val="202020"/>
                <w:sz w:val="19"/>
              </w:rPr>
              <w:t>9140010</w:t>
            </w:r>
          </w:p>
        </w:tc>
        <w:tc>
          <w:tcPr>
            <w:tcW w:w="12216" w:type="dxa"/>
            <w:tcBorders>
              <w:right w:val="nil"/>
            </w:tcBorders>
          </w:tcPr>
          <w:p>
            <w:pPr>
              <w:pStyle w:val="TableParagraph"/>
              <w:rPr>
                <w:sz w:val="19"/>
              </w:rPr>
            </w:pPr>
            <w:r>
              <w:rPr>
                <w:color w:val="202020"/>
                <w:sz w:val="19"/>
              </w:rPr>
              <w:t>GN 21 of 5 June 1991</w:t>
            </w:r>
          </w:p>
        </w:tc>
      </w:tr>
      <w:tr>
        <w:trPr>
          <w:trHeight w:val="593" w:hRule="atLeast"/>
        </w:trPr>
        <w:tc>
          <w:tcPr>
            <w:tcW w:w="3375" w:type="dxa"/>
            <w:tcBorders>
              <w:left w:val="nil"/>
            </w:tcBorders>
          </w:tcPr>
          <w:p>
            <w:pPr>
              <w:pStyle w:val="TableParagraph"/>
              <w:rPr>
                <w:sz w:val="19"/>
              </w:rPr>
            </w:pPr>
            <w:r>
              <w:rPr>
                <w:color w:val="202020"/>
                <w:sz w:val="19"/>
              </w:rPr>
              <w:t>9140058</w:t>
            </w:r>
          </w:p>
        </w:tc>
        <w:tc>
          <w:tcPr>
            <w:tcW w:w="12216" w:type="dxa"/>
            <w:tcBorders>
              <w:right w:val="nil"/>
            </w:tcBorders>
          </w:tcPr>
          <w:p>
            <w:pPr>
              <w:pStyle w:val="TableParagraph"/>
              <w:rPr>
                <w:sz w:val="19"/>
              </w:rPr>
            </w:pPr>
            <w:r>
              <w:rPr>
                <w:color w:val="202020"/>
                <w:sz w:val="19"/>
              </w:rPr>
              <w:t>GN 36 of 18 September 1991</w:t>
            </w:r>
          </w:p>
        </w:tc>
      </w:tr>
      <w:tr>
        <w:trPr>
          <w:trHeight w:val="593" w:hRule="atLeast"/>
        </w:trPr>
        <w:tc>
          <w:tcPr>
            <w:tcW w:w="3375" w:type="dxa"/>
            <w:tcBorders>
              <w:left w:val="nil"/>
            </w:tcBorders>
          </w:tcPr>
          <w:p>
            <w:pPr>
              <w:pStyle w:val="TableParagraph"/>
              <w:rPr>
                <w:sz w:val="19"/>
              </w:rPr>
            </w:pPr>
            <w:r>
              <w:rPr>
                <w:color w:val="202020"/>
                <w:sz w:val="19"/>
              </w:rPr>
              <w:t>9140093</w:t>
            </w:r>
          </w:p>
        </w:tc>
        <w:tc>
          <w:tcPr>
            <w:tcW w:w="12216" w:type="dxa"/>
            <w:tcBorders>
              <w:right w:val="nil"/>
            </w:tcBorders>
          </w:tcPr>
          <w:p>
            <w:pPr>
              <w:pStyle w:val="TableParagraph"/>
              <w:rPr>
                <w:sz w:val="19"/>
              </w:rPr>
            </w:pPr>
            <w:r>
              <w:rPr>
                <w:color w:val="202020"/>
                <w:sz w:val="19"/>
              </w:rPr>
              <w:t>GN 43 of 6 November 1991</w:t>
            </w:r>
          </w:p>
        </w:tc>
      </w:tr>
      <w:tr>
        <w:trPr>
          <w:trHeight w:val="593" w:hRule="atLeast"/>
        </w:trPr>
        <w:tc>
          <w:tcPr>
            <w:tcW w:w="3375" w:type="dxa"/>
            <w:tcBorders>
              <w:left w:val="nil"/>
            </w:tcBorders>
          </w:tcPr>
          <w:p>
            <w:pPr>
              <w:pStyle w:val="TableParagraph"/>
              <w:rPr>
                <w:sz w:val="19"/>
              </w:rPr>
            </w:pPr>
            <w:r>
              <w:rPr>
                <w:color w:val="202020"/>
                <w:sz w:val="19"/>
              </w:rPr>
              <w:t>9240032</w:t>
            </w:r>
          </w:p>
        </w:tc>
        <w:tc>
          <w:tcPr>
            <w:tcW w:w="12216" w:type="dxa"/>
            <w:tcBorders>
              <w:right w:val="nil"/>
            </w:tcBorders>
          </w:tcPr>
          <w:p>
            <w:pPr>
              <w:pStyle w:val="TableParagraph"/>
              <w:rPr>
                <w:sz w:val="19"/>
              </w:rPr>
            </w:pPr>
            <w:r>
              <w:rPr>
                <w:color w:val="202020"/>
                <w:sz w:val="19"/>
              </w:rPr>
              <w:t>GN 23 of 10 June 1992</w:t>
            </w:r>
          </w:p>
        </w:tc>
      </w:tr>
      <w:tr>
        <w:trPr>
          <w:trHeight w:val="593" w:hRule="atLeast"/>
        </w:trPr>
        <w:tc>
          <w:tcPr>
            <w:tcW w:w="3375" w:type="dxa"/>
            <w:tcBorders>
              <w:left w:val="nil"/>
            </w:tcBorders>
          </w:tcPr>
          <w:p>
            <w:pPr>
              <w:pStyle w:val="TableParagraph"/>
              <w:rPr>
                <w:sz w:val="19"/>
              </w:rPr>
            </w:pPr>
            <w:r>
              <w:rPr>
                <w:color w:val="202020"/>
                <w:sz w:val="19"/>
              </w:rPr>
              <w:t>9240043</w:t>
            </w:r>
          </w:p>
        </w:tc>
        <w:tc>
          <w:tcPr>
            <w:tcW w:w="12216" w:type="dxa"/>
            <w:tcBorders>
              <w:right w:val="nil"/>
            </w:tcBorders>
          </w:tcPr>
          <w:p>
            <w:pPr>
              <w:pStyle w:val="TableParagraph"/>
              <w:rPr>
                <w:sz w:val="19"/>
              </w:rPr>
            </w:pPr>
            <w:r>
              <w:rPr>
                <w:color w:val="202020"/>
                <w:sz w:val="19"/>
              </w:rPr>
              <w:t>GN 27 of 8 July 1992</w:t>
            </w:r>
          </w:p>
        </w:tc>
      </w:tr>
      <w:tr>
        <w:trPr>
          <w:trHeight w:val="593" w:hRule="atLeast"/>
        </w:trPr>
        <w:tc>
          <w:tcPr>
            <w:tcW w:w="3375" w:type="dxa"/>
            <w:tcBorders>
              <w:left w:val="nil"/>
            </w:tcBorders>
          </w:tcPr>
          <w:p>
            <w:pPr>
              <w:pStyle w:val="TableParagraph"/>
              <w:rPr>
                <w:sz w:val="19"/>
              </w:rPr>
            </w:pPr>
            <w:r>
              <w:rPr>
                <w:color w:val="202020"/>
                <w:sz w:val="19"/>
              </w:rPr>
              <w:t>9240066</w:t>
            </w:r>
          </w:p>
        </w:tc>
        <w:tc>
          <w:tcPr>
            <w:tcW w:w="12216" w:type="dxa"/>
            <w:tcBorders>
              <w:right w:val="nil"/>
            </w:tcBorders>
          </w:tcPr>
          <w:p>
            <w:pPr>
              <w:pStyle w:val="TableParagraph"/>
              <w:rPr>
                <w:sz w:val="19"/>
              </w:rPr>
            </w:pPr>
            <w:r>
              <w:rPr>
                <w:color w:val="202020"/>
                <w:sz w:val="19"/>
              </w:rPr>
              <w:t>GN 38 of 23 September 1992</w:t>
            </w:r>
          </w:p>
        </w:tc>
      </w:tr>
      <w:tr>
        <w:trPr>
          <w:trHeight w:val="593" w:hRule="atLeast"/>
        </w:trPr>
        <w:tc>
          <w:tcPr>
            <w:tcW w:w="3375" w:type="dxa"/>
            <w:tcBorders>
              <w:left w:val="nil"/>
            </w:tcBorders>
          </w:tcPr>
          <w:p>
            <w:pPr>
              <w:pStyle w:val="TableParagraph"/>
              <w:rPr>
                <w:sz w:val="19"/>
              </w:rPr>
            </w:pPr>
            <w:r>
              <w:rPr>
                <w:color w:val="202020"/>
                <w:sz w:val="19"/>
              </w:rPr>
              <w:t>9240067</w:t>
            </w:r>
          </w:p>
        </w:tc>
        <w:tc>
          <w:tcPr>
            <w:tcW w:w="12216" w:type="dxa"/>
            <w:tcBorders>
              <w:right w:val="nil"/>
            </w:tcBorders>
          </w:tcPr>
          <w:p>
            <w:pPr>
              <w:pStyle w:val="TableParagraph"/>
              <w:rPr>
                <w:sz w:val="19"/>
              </w:rPr>
            </w:pPr>
            <w:r>
              <w:rPr>
                <w:color w:val="202020"/>
                <w:sz w:val="19"/>
              </w:rPr>
              <w:t>GN 38 of 23 September 1992</w:t>
            </w:r>
          </w:p>
        </w:tc>
      </w:tr>
      <w:tr>
        <w:trPr>
          <w:trHeight w:val="593" w:hRule="atLeast"/>
        </w:trPr>
        <w:tc>
          <w:tcPr>
            <w:tcW w:w="3375" w:type="dxa"/>
            <w:tcBorders>
              <w:left w:val="nil"/>
            </w:tcBorders>
          </w:tcPr>
          <w:p>
            <w:pPr>
              <w:pStyle w:val="TableParagraph"/>
              <w:rPr>
                <w:sz w:val="19"/>
              </w:rPr>
            </w:pPr>
            <w:r>
              <w:rPr>
                <w:color w:val="202020"/>
                <w:sz w:val="19"/>
              </w:rPr>
              <w:t>9240094</w:t>
            </w:r>
          </w:p>
        </w:tc>
        <w:tc>
          <w:tcPr>
            <w:tcW w:w="12216" w:type="dxa"/>
            <w:tcBorders>
              <w:right w:val="nil"/>
            </w:tcBorders>
          </w:tcPr>
          <w:p>
            <w:pPr>
              <w:pStyle w:val="TableParagraph"/>
              <w:rPr>
                <w:sz w:val="19"/>
              </w:rPr>
            </w:pPr>
            <w:r>
              <w:rPr>
                <w:color w:val="202020"/>
                <w:sz w:val="19"/>
              </w:rPr>
              <w:t>GN 48 of 2 December 1992</w:t>
            </w:r>
          </w:p>
        </w:tc>
      </w:tr>
      <w:tr>
        <w:trPr>
          <w:trHeight w:val="166" w:hRule="atLeast"/>
        </w:trPr>
        <w:tc>
          <w:tcPr>
            <w:tcW w:w="3375" w:type="dxa"/>
            <w:tcBorders>
              <w:left w:val="nil"/>
              <w:bottom w:val="nil"/>
            </w:tcBorders>
          </w:tcPr>
          <w:p>
            <w:pPr>
              <w:pStyle w:val="TableParagraph"/>
              <w:spacing w:before="0"/>
              <w:ind w:left="0"/>
              <w:rPr>
                <w:rFonts w:ascii="Times New Roman"/>
                <w:sz w:val="10"/>
              </w:rPr>
            </w:pPr>
          </w:p>
        </w:tc>
        <w:tc>
          <w:tcPr>
            <w:tcW w:w="12216" w:type="dxa"/>
            <w:tcBorders>
              <w:bottom w:val="nil"/>
              <w:right w:val="nil"/>
            </w:tcBorders>
          </w:tcPr>
          <w:p>
            <w:pPr>
              <w:pStyle w:val="TableParagraph"/>
              <w:spacing w:before="0"/>
              <w:ind w:left="0"/>
              <w:rPr>
                <w:rFonts w:ascii="Times New Roman"/>
                <w:sz w:val="10"/>
              </w:rPr>
            </w:pPr>
          </w:p>
        </w:tc>
      </w:tr>
    </w:tbl>
    <w:p>
      <w:pPr>
        <w:spacing w:after="0"/>
        <w:rPr>
          <w:rFonts w:ascii="Times New Roman"/>
          <w:sz w:val="10"/>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375"/>
        <w:gridCol w:w="12216"/>
      </w:tblGrid>
      <w:tr>
        <w:trPr>
          <w:trHeight w:val="499" w:hRule="atLeast"/>
        </w:trPr>
        <w:tc>
          <w:tcPr>
            <w:tcW w:w="3375" w:type="dxa"/>
            <w:tcBorders>
              <w:top w:val="nil"/>
              <w:left w:val="nil"/>
            </w:tcBorders>
          </w:tcPr>
          <w:p>
            <w:pPr>
              <w:pStyle w:val="TableParagraph"/>
              <w:spacing w:line="216" w:lineRule="exact" w:before="0"/>
              <w:rPr>
                <w:sz w:val="19"/>
              </w:rPr>
            </w:pPr>
            <w:r>
              <w:rPr>
                <w:color w:val="202020"/>
                <w:sz w:val="19"/>
              </w:rPr>
              <w:t>9340060</w:t>
            </w:r>
          </w:p>
        </w:tc>
        <w:tc>
          <w:tcPr>
            <w:tcW w:w="12216" w:type="dxa"/>
            <w:tcBorders>
              <w:top w:val="nil"/>
              <w:right w:val="nil"/>
            </w:tcBorders>
          </w:tcPr>
          <w:p>
            <w:pPr>
              <w:pStyle w:val="TableParagraph"/>
              <w:spacing w:line="216" w:lineRule="exact" w:before="0"/>
              <w:rPr>
                <w:sz w:val="19"/>
              </w:rPr>
            </w:pPr>
            <w:r>
              <w:rPr>
                <w:color w:val="202020"/>
                <w:sz w:val="19"/>
              </w:rPr>
              <w:t>GN 25 of 30 June 1993</w:t>
            </w:r>
          </w:p>
        </w:tc>
      </w:tr>
      <w:tr>
        <w:trPr>
          <w:trHeight w:val="593" w:hRule="atLeast"/>
        </w:trPr>
        <w:tc>
          <w:tcPr>
            <w:tcW w:w="3375" w:type="dxa"/>
            <w:tcBorders>
              <w:left w:val="nil"/>
            </w:tcBorders>
          </w:tcPr>
          <w:p>
            <w:pPr>
              <w:pStyle w:val="TableParagraph"/>
              <w:rPr>
                <w:sz w:val="19"/>
              </w:rPr>
            </w:pPr>
            <w:r>
              <w:rPr>
                <w:color w:val="202020"/>
                <w:sz w:val="19"/>
              </w:rPr>
              <w:t>9440011</w:t>
            </w:r>
          </w:p>
        </w:tc>
        <w:tc>
          <w:tcPr>
            <w:tcW w:w="12216" w:type="dxa"/>
            <w:tcBorders>
              <w:right w:val="nil"/>
            </w:tcBorders>
          </w:tcPr>
          <w:p>
            <w:pPr>
              <w:pStyle w:val="TableParagraph"/>
              <w:rPr>
                <w:sz w:val="19"/>
              </w:rPr>
            </w:pPr>
            <w:r>
              <w:rPr>
                <w:color w:val="202020"/>
                <w:sz w:val="19"/>
              </w:rPr>
              <w:t>GN 13 of 6 April 1994</w:t>
            </w:r>
          </w:p>
        </w:tc>
      </w:tr>
      <w:tr>
        <w:trPr>
          <w:trHeight w:val="593" w:hRule="atLeast"/>
        </w:trPr>
        <w:tc>
          <w:tcPr>
            <w:tcW w:w="3375" w:type="dxa"/>
            <w:tcBorders>
              <w:left w:val="nil"/>
            </w:tcBorders>
          </w:tcPr>
          <w:p>
            <w:pPr>
              <w:pStyle w:val="TableParagraph"/>
              <w:rPr>
                <w:sz w:val="19"/>
              </w:rPr>
            </w:pPr>
            <w:r>
              <w:rPr>
                <w:color w:val="202020"/>
                <w:sz w:val="19"/>
              </w:rPr>
              <w:t>9440025</w:t>
            </w:r>
          </w:p>
        </w:tc>
        <w:tc>
          <w:tcPr>
            <w:tcW w:w="12216" w:type="dxa"/>
            <w:tcBorders>
              <w:right w:val="nil"/>
            </w:tcBorders>
          </w:tcPr>
          <w:p>
            <w:pPr>
              <w:pStyle w:val="TableParagraph"/>
              <w:rPr>
                <w:sz w:val="19"/>
              </w:rPr>
            </w:pPr>
            <w:r>
              <w:rPr>
                <w:color w:val="202020"/>
                <w:sz w:val="19"/>
              </w:rPr>
              <w:t>GN 21 of 1 June 1994</w:t>
            </w:r>
          </w:p>
        </w:tc>
      </w:tr>
      <w:tr>
        <w:trPr>
          <w:trHeight w:val="377" w:hRule="atLeast"/>
        </w:trPr>
        <w:tc>
          <w:tcPr>
            <w:tcW w:w="3375" w:type="dxa"/>
            <w:tcBorders>
              <w:left w:val="nil"/>
            </w:tcBorders>
          </w:tcPr>
          <w:p>
            <w:pPr>
              <w:pStyle w:val="TableParagraph"/>
              <w:spacing w:before="0"/>
              <w:ind w:left="0"/>
              <w:rPr>
                <w:rFonts w:ascii="Times New Roman"/>
                <w:sz w:val="18"/>
              </w:rPr>
            </w:pPr>
          </w:p>
        </w:tc>
        <w:tc>
          <w:tcPr>
            <w:tcW w:w="12216" w:type="dxa"/>
            <w:tcBorders>
              <w:right w:val="nil"/>
            </w:tcBorders>
          </w:tcPr>
          <w:p>
            <w:pPr>
              <w:pStyle w:val="TableParagraph"/>
              <w:spacing w:before="0"/>
              <w:ind w:left="0"/>
              <w:rPr>
                <w:rFonts w:ascii="Times New Roman"/>
                <w:sz w:val="18"/>
              </w:rPr>
            </w:pPr>
          </w:p>
        </w:tc>
      </w:tr>
    </w:tbl>
    <w:p>
      <w:pPr>
        <w:pStyle w:val="BodyText"/>
        <w:spacing w:before="1"/>
        <w:ind w:left="0"/>
        <w:rPr>
          <w:sz w:val="8"/>
        </w:rPr>
      </w:pPr>
    </w:p>
    <w:p>
      <w:pPr>
        <w:pStyle w:val="BodyText"/>
        <w:spacing w:line="446" w:lineRule="auto" w:before="94"/>
        <w:ind w:right="10652"/>
      </w:pPr>
      <w:r>
        <w:rPr/>
        <w:t>This Notice shall take effect on and from 10 July 1997. Dated this Second day of June 1997.</w:t>
      </w:r>
    </w:p>
    <w:p>
      <w:pPr>
        <w:pStyle w:val="BodyText"/>
        <w:spacing w:line="216" w:lineRule="exact"/>
      </w:pPr>
      <w:r>
        <w:rPr/>
        <w:t>MARION ESTELLE GRANT</w:t>
      </w:r>
    </w:p>
    <w:p>
      <w:pPr>
        <w:pStyle w:val="BodyText"/>
        <w:spacing w:line="217" w:lineRule="exact"/>
      </w:pPr>
      <w:r>
        <w:rPr/>
        <w:t>Delegate of the Chief Executive Officer</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2020-12-09T23:03:44Z</dcterms:created>
  <dcterms:modified xsi:type="dcterms:W3CDTF">2020-12-09T23:03:44Z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