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54</w:t>
      </w:r>
    </w:p>
    <w:p>
      <w:pPr>
        <w:spacing w:line="316" w:lineRule="auto" w:before="357"/>
        <w:ind w:left="108" w:right="0" w:firstLine="0"/>
        <w:jc w:val="left"/>
        <w:rPr>
          <w:b/>
          <w:sz w:val="32"/>
        </w:rPr>
      </w:pPr>
      <w:r>
        <w:rPr>
          <w:b/>
          <w:color w:val="202020"/>
          <w:sz w:val="32"/>
        </w:rPr>
        <w:t>TARIFF CONCESSION ORDERS (TCO) PASSENGER MOTOR VEHICLE PARTS / "SUPER TOURING" RACING CARS</w:t>
      </w:r>
    </w:p>
    <w:p>
      <w:pPr>
        <w:pStyle w:val="Heading3"/>
        <w:spacing w:before="138"/>
      </w:pPr>
      <w:r>
        <w:rPr/>
        <w:t>Passenger Motor Vehicle Parts</w:t>
      </w:r>
    </w:p>
    <w:p>
      <w:pPr>
        <w:pStyle w:val="BodyText"/>
        <w:spacing w:before="5"/>
        <w:rPr>
          <w:b/>
          <w:sz w:val="16"/>
        </w:rPr>
      </w:pPr>
    </w:p>
    <w:p>
      <w:pPr>
        <w:pStyle w:val="BodyText"/>
        <w:spacing w:line="237" w:lineRule="auto"/>
        <w:ind w:left="108" w:right="146"/>
      </w:pPr>
      <w:r>
        <w:rPr/>
        <w:t>The Minister for Industry, Science and Tourism, the Hon John Moore, has given approval for the re-instatement of concessional arrangements for certain passenger motor vehicle parts and components that were covered by Commercial Tariff Concession Orders (CTCO) on 14 July 1996. Legislation to this effect was approved by Executive Council on 16 June 1997 and was gazetted on 17 June 1997.</w:t>
      </w:r>
    </w:p>
    <w:p>
      <w:pPr>
        <w:pStyle w:val="BodyText"/>
        <w:spacing w:before="4"/>
        <w:rPr>
          <w:sz w:val="16"/>
        </w:rPr>
      </w:pPr>
    </w:p>
    <w:p>
      <w:pPr>
        <w:pStyle w:val="BodyText"/>
        <w:ind w:left="108"/>
      </w:pPr>
      <w:r>
        <w:rPr/>
        <w:pict>
          <v:rect style="position:absolute;margin-left:45.9105pt;margin-top:10.940138pt;width:2.70568pt;height:43.290878pt;mso-position-horizontal-relative:page;mso-position-vertical-relative:paragraph;z-index:15728640" filled="true" fillcolor="#003366" stroked="false">
            <v:fill type="solid"/>
            <w10:wrap type="none"/>
          </v:rect>
        </w:pict>
      </w:r>
      <w:r>
        <w:rPr/>
        <w:t>Subregulation 185 (2) has been amended to provide concessional entry for:</w:t>
      </w:r>
    </w:p>
    <w:p>
      <w:pPr>
        <w:spacing w:line="247" w:lineRule="auto" w:before="178"/>
        <w:ind w:left="567" w:right="568" w:firstLine="0"/>
        <w:jc w:val="left"/>
        <w:rPr>
          <w:rFonts w:ascii="Georgia"/>
          <w:i/>
          <w:sz w:val="22"/>
        </w:rPr>
      </w:pPr>
      <w:r>
        <w:rPr>
          <w:rFonts w:ascii="Georgia"/>
          <w:i/>
          <w:color w:val="585858"/>
          <w:w w:val="105"/>
          <w:sz w:val="22"/>
        </w:rPr>
        <w:t>"passenger</w:t>
      </w:r>
      <w:r>
        <w:rPr>
          <w:rFonts w:ascii="Georgia"/>
          <w:i/>
          <w:color w:val="585858"/>
          <w:spacing w:val="-12"/>
          <w:w w:val="105"/>
          <w:sz w:val="22"/>
        </w:rPr>
        <w:t> </w:t>
      </w:r>
      <w:r>
        <w:rPr>
          <w:rFonts w:ascii="Georgia"/>
          <w:i/>
          <w:color w:val="585858"/>
          <w:w w:val="105"/>
          <w:sz w:val="22"/>
        </w:rPr>
        <w:t>motor</w:t>
      </w:r>
      <w:r>
        <w:rPr>
          <w:rFonts w:ascii="Georgia"/>
          <w:i/>
          <w:color w:val="585858"/>
          <w:spacing w:val="-11"/>
          <w:w w:val="105"/>
          <w:sz w:val="22"/>
        </w:rPr>
        <w:t> </w:t>
      </w:r>
      <w:r>
        <w:rPr>
          <w:rFonts w:ascii="Georgia"/>
          <w:i/>
          <w:color w:val="585858"/>
          <w:w w:val="105"/>
          <w:sz w:val="22"/>
        </w:rPr>
        <w:t>vehicle</w:t>
      </w:r>
      <w:r>
        <w:rPr>
          <w:rFonts w:ascii="Georgia"/>
          <w:i/>
          <w:color w:val="585858"/>
          <w:spacing w:val="-12"/>
          <w:w w:val="105"/>
          <w:sz w:val="22"/>
        </w:rPr>
        <w:t> </w:t>
      </w:r>
      <w:r>
        <w:rPr>
          <w:rFonts w:ascii="Georgia"/>
          <w:i/>
          <w:color w:val="585858"/>
          <w:w w:val="105"/>
          <w:sz w:val="22"/>
        </w:rPr>
        <w:t>parts</w:t>
      </w:r>
      <w:r>
        <w:rPr>
          <w:rFonts w:ascii="Georgia"/>
          <w:i/>
          <w:color w:val="585858"/>
          <w:spacing w:val="-11"/>
          <w:w w:val="105"/>
          <w:sz w:val="22"/>
        </w:rPr>
        <w:t> </w:t>
      </w:r>
      <w:r>
        <w:rPr>
          <w:rFonts w:ascii="Georgia"/>
          <w:i/>
          <w:color w:val="585858"/>
          <w:w w:val="105"/>
          <w:sz w:val="22"/>
        </w:rPr>
        <w:t>or</w:t>
      </w:r>
      <w:r>
        <w:rPr>
          <w:rFonts w:ascii="Georgia"/>
          <w:i/>
          <w:color w:val="585858"/>
          <w:spacing w:val="-12"/>
          <w:w w:val="105"/>
          <w:sz w:val="22"/>
        </w:rPr>
        <w:t> </w:t>
      </w:r>
      <w:r>
        <w:rPr>
          <w:rFonts w:ascii="Georgia"/>
          <w:i/>
          <w:color w:val="585858"/>
          <w:w w:val="105"/>
          <w:sz w:val="22"/>
        </w:rPr>
        <w:t>components</w:t>
      </w:r>
      <w:r>
        <w:rPr>
          <w:rFonts w:ascii="Georgia"/>
          <w:i/>
          <w:color w:val="585858"/>
          <w:spacing w:val="-11"/>
          <w:w w:val="105"/>
          <w:sz w:val="22"/>
        </w:rPr>
        <w:t> </w:t>
      </w:r>
      <w:r>
        <w:rPr>
          <w:rFonts w:ascii="Georgia"/>
          <w:i/>
          <w:color w:val="585858"/>
          <w:w w:val="105"/>
          <w:sz w:val="22"/>
        </w:rPr>
        <w:t>that,</w:t>
      </w:r>
      <w:r>
        <w:rPr>
          <w:rFonts w:ascii="Georgia"/>
          <w:i/>
          <w:color w:val="585858"/>
          <w:spacing w:val="-11"/>
          <w:w w:val="105"/>
          <w:sz w:val="22"/>
        </w:rPr>
        <w:t> </w:t>
      </w:r>
      <w:r>
        <w:rPr>
          <w:rFonts w:ascii="Georgia"/>
          <w:i/>
          <w:color w:val="585858"/>
          <w:w w:val="105"/>
          <w:sz w:val="22"/>
        </w:rPr>
        <w:t>if</w:t>
      </w:r>
      <w:r>
        <w:rPr>
          <w:rFonts w:ascii="Georgia"/>
          <w:i/>
          <w:color w:val="585858"/>
          <w:spacing w:val="-12"/>
          <w:w w:val="105"/>
          <w:sz w:val="22"/>
        </w:rPr>
        <w:t> </w:t>
      </w:r>
      <w:r>
        <w:rPr>
          <w:rFonts w:ascii="Georgia"/>
          <w:i/>
          <w:color w:val="585858"/>
          <w:w w:val="105"/>
          <w:sz w:val="22"/>
        </w:rPr>
        <w:t>they</w:t>
      </w:r>
      <w:r>
        <w:rPr>
          <w:rFonts w:ascii="Georgia"/>
          <w:i/>
          <w:color w:val="585858"/>
          <w:spacing w:val="-11"/>
          <w:w w:val="105"/>
          <w:sz w:val="22"/>
        </w:rPr>
        <w:t> </w:t>
      </w:r>
      <w:r>
        <w:rPr>
          <w:rFonts w:ascii="Georgia"/>
          <w:i/>
          <w:color w:val="585858"/>
          <w:w w:val="105"/>
          <w:sz w:val="22"/>
        </w:rPr>
        <w:t>had</w:t>
      </w:r>
      <w:r>
        <w:rPr>
          <w:rFonts w:ascii="Georgia"/>
          <w:i/>
          <w:color w:val="585858"/>
          <w:spacing w:val="-12"/>
          <w:w w:val="105"/>
          <w:sz w:val="22"/>
        </w:rPr>
        <w:t> </w:t>
      </w:r>
      <w:r>
        <w:rPr>
          <w:rFonts w:ascii="Georgia"/>
          <w:i/>
          <w:color w:val="585858"/>
          <w:w w:val="105"/>
          <w:sz w:val="22"/>
        </w:rPr>
        <w:t>been</w:t>
      </w:r>
      <w:r>
        <w:rPr>
          <w:rFonts w:ascii="Georgia"/>
          <w:i/>
          <w:color w:val="585858"/>
          <w:spacing w:val="-11"/>
          <w:w w:val="105"/>
          <w:sz w:val="22"/>
        </w:rPr>
        <w:t> </w:t>
      </w:r>
      <w:r>
        <w:rPr>
          <w:rFonts w:ascii="Georgia"/>
          <w:i/>
          <w:color w:val="585858"/>
          <w:w w:val="105"/>
          <w:sz w:val="22"/>
        </w:rPr>
        <w:t>entered</w:t>
      </w:r>
      <w:r>
        <w:rPr>
          <w:rFonts w:ascii="Georgia"/>
          <w:i/>
          <w:color w:val="585858"/>
          <w:spacing w:val="-11"/>
          <w:w w:val="105"/>
          <w:sz w:val="22"/>
        </w:rPr>
        <w:t> </w:t>
      </w:r>
      <w:r>
        <w:rPr>
          <w:rFonts w:ascii="Georgia"/>
          <w:i/>
          <w:color w:val="585858"/>
          <w:w w:val="105"/>
          <w:sz w:val="22"/>
        </w:rPr>
        <w:t>for</w:t>
      </w:r>
      <w:r>
        <w:rPr>
          <w:rFonts w:ascii="Georgia"/>
          <w:i/>
          <w:color w:val="585858"/>
          <w:spacing w:val="-12"/>
          <w:w w:val="105"/>
          <w:sz w:val="22"/>
        </w:rPr>
        <w:t> </w:t>
      </w:r>
      <w:r>
        <w:rPr>
          <w:rFonts w:ascii="Georgia"/>
          <w:i/>
          <w:color w:val="585858"/>
          <w:w w:val="105"/>
          <w:sz w:val="22"/>
        </w:rPr>
        <w:t>home</w:t>
      </w:r>
      <w:r>
        <w:rPr>
          <w:rFonts w:ascii="Georgia"/>
          <w:i/>
          <w:color w:val="585858"/>
          <w:spacing w:val="-11"/>
          <w:w w:val="105"/>
          <w:sz w:val="22"/>
        </w:rPr>
        <w:t> </w:t>
      </w:r>
      <w:r>
        <w:rPr>
          <w:rFonts w:ascii="Georgia"/>
          <w:i/>
          <w:color w:val="585858"/>
          <w:w w:val="105"/>
          <w:sz w:val="22"/>
        </w:rPr>
        <w:t>consumption</w:t>
      </w:r>
      <w:r>
        <w:rPr>
          <w:rFonts w:ascii="Georgia"/>
          <w:i/>
          <w:color w:val="585858"/>
          <w:spacing w:val="-12"/>
          <w:w w:val="105"/>
          <w:sz w:val="22"/>
        </w:rPr>
        <w:t> </w:t>
      </w:r>
      <w:r>
        <w:rPr>
          <w:rFonts w:ascii="Georgia"/>
          <w:i/>
          <w:color w:val="585858"/>
          <w:w w:val="105"/>
          <w:sz w:val="22"/>
        </w:rPr>
        <w:t>on</w:t>
      </w:r>
      <w:r>
        <w:rPr>
          <w:rFonts w:ascii="Georgia"/>
          <w:i/>
          <w:color w:val="585858"/>
          <w:spacing w:val="-11"/>
          <w:w w:val="105"/>
          <w:sz w:val="22"/>
        </w:rPr>
        <w:t> </w:t>
      </w:r>
      <w:r>
        <w:rPr>
          <w:rFonts w:ascii="Georgia"/>
          <w:i/>
          <w:color w:val="585858"/>
          <w:w w:val="105"/>
          <w:sz w:val="22"/>
        </w:rPr>
        <w:t>14</w:t>
      </w:r>
      <w:r>
        <w:rPr>
          <w:rFonts w:ascii="Georgia"/>
          <w:i/>
          <w:color w:val="585858"/>
          <w:spacing w:val="-11"/>
          <w:w w:val="105"/>
          <w:sz w:val="22"/>
        </w:rPr>
        <w:t> </w:t>
      </w:r>
      <w:r>
        <w:rPr>
          <w:rFonts w:ascii="Georgia"/>
          <w:i/>
          <w:color w:val="585858"/>
          <w:w w:val="105"/>
          <w:sz w:val="22"/>
        </w:rPr>
        <w:t>July</w:t>
      </w:r>
      <w:r>
        <w:rPr>
          <w:rFonts w:ascii="Georgia"/>
          <w:i/>
          <w:color w:val="585858"/>
          <w:spacing w:val="-12"/>
          <w:w w:val="105"/>
          <w:sz w:val="22"/>
        </w:rPr>
        <w:t> </w:t>
      </w:r>
      <w:r>
        <w:rPr>
          <w:rFonts w:ascii="Georgia"/>
          <w:i/>
          <w:color w:val="585858"/>
          <w:w w:val="105"/>
          <w:sz w:val="22"/>
        </w:rPr>
        <w:t>1996,</w:t>
      </w:r>
      <w:r>
        <w:rPr>
          <w:rFonts w:ascii="Georgia"/>
          <w:i/>
          <w:color w:val="585858"/>
          <w:spacing w:val="-11"/>
          <w:w w:val="105"/>
          <w:sz w:val="22"/>
        </w:rPr>
        <w:t> </w:t>
      </w:r>
      <w:r>
        <w:rPr>
          <w:rFonts w:ascii="Georgia"/>
          <w:i/>
          <w:color w:val="585858"/>
          <w:w w:val="105"/>
          <w:sz w:val="22"/>
        </w:rPr>
        <w:t>would</w:t>
      </w:r>
      <w:r>
        <w:rPr>
          <w:rFonts w:ascii="Georgia"/>
          <w:i/>
          <w:color w:val="585858"/>
          <w:spacing w:val="-12"/>
          <w:w w:val="105"/>
          <w:sz w:val="22"/>
        </w:rPr>
        <w:t> </w:t>
      </w:r>
      <w:r>
        <w:rPr>
          <w:rFonts w:ascii="Georgia"/>
          <w:i/>
          <w:color w:val="585858"/>
          <w:w w:val="105"/>
          <w:sz w:val="22"/>
        </w:rPr>
        <w:t>have</w:t>
      </w:r>
      <w:r>
        <w:rPr>
          <w:rFonts w:ascii="Georgia"/>
          <w:i/>
          <w:color w:val="585858"/>
          <w:spacing w:val="-11"/>
          <w:w w:val="105"/>
          <w:sz w:val="22"/>
        </w:rPr>
        <w:t> </w:t>
      </w:r>
      <w:r>
        <w:rPr>
          <w:rFonts w:ascii="Georgia"/>
          <w:i/>
          <w:color w:val="585858"/>
          <w:w w:val="105"/>
          <w:sz w:val="22"/>
        </w:rPr>
        <w:t>been</w:t>
      </w:r>
      <w:r>
        <w:rPr>
          <w:rFonts w:ascii="Georgia"/>
          <w:i/>
          <w:color w:val="585858"/>
          <w:spacing w:val="-11"/>
          <w:w w:val="105"/>
          <w:sz w:val="22"/>
        </w:rPr>
        <w:t> </w:t>
      </w:r>
      <w:r>
        <w:rPr>
          <w:rFonts w:ascii="Georgia"/>
          <w:i/>
          <w:color w:val="585858"/>
          <w:w w:val="105"/>
          <w:sz w:val="22"/>
        </w:rPr>
        <w:t>the</w:t>
      </w:r>
      <w:r>
        <w:rPr>
          <w:rFonts w:ascii="Georgia"/>
          <w:i/>
          <w:color w:val="585858"/>
          <w:spacing w:val="-12"/>
          <w:w w:val="105"/>
          <w:sz w:val="22"/>
        </w:rPr>
        <w:t> </w:t>
      </w:r>
      <w:r>
        <w:rPr>
          <w:rFonts w:ascii="Georgia"/>
          <w:i/>
          <w:color w:val="585858"/>
          <w:w w:val="105"/>
          <w:sz w:val="22"/>
        </w:rPr>
        <w:t>subject of a Commercial Tariff Concession</w:t>
      </w:r>
      <w:r>
        <w:rPr>
          <w:rFonts w:ascii="Georgia"/>
          <w:i/>
          <w:color w:val="585858"/>
          <w:spacing w:val="-10"/>
          <w:w w:val="105"/>
          <w:sz w:val="22"/>
        </w:rPr>
        <w:t> </w:t>
      </w:r>
      <w:r>
        <w:rPr>
          <w:rFonts w:ascii="Georgia"/>
          <w:i/>
          <w:color w:val="585858"/>
          <w:w w:val="105"/>
          <w:sz w:val="22"/>
        </w:rPr>
        <w:t>Order:</w:t>
      </w:r>
    </w:p>
    <w:p>
      <w:pPr>
        <w:pStyle w:val="BodyText"/>
        <w:rPr>
          <w:rFonts w:ascii="Georgia"/>
          <w:i/>
          <w:sz w:val="26"/>
        </w:rPr>
      </w:pPr>
    </w:p>
    <w:p>
      <w:pPr>
        <w:pStyle w:val="BodyText"/>
        <w:rPr>
          <w:rFonts w:ascii="Georgia"/>
          <w:i/>
          <w:sz w:val="26"/>
        </w:rPr>
      </w:pPr>
    </w:p>
    <w:p>
      <w:pPr>
        <w:pStyle w:val="Heading1"/>
        <w:numPr>
          <w:ilvl w:val="0"/>
          <w:numId w:val="1"/>
        </w:numPr>
        <w:tabs>
          <w:tab w:pos="1461" w:val="left" w:leader="none"/>
        </w:tabs>
        <w:spacing w:line="232" w:lineRule="auto" w:before="208" w:after="0"/>
        <w:ind w:left="1108" w:right="1096" w:firstLine="0"/>
        <w:jc w:val="left"/>
      </w:pPr>
      <w:r>
        <w:rPr/>
        <w:pict>
          <v:rect style="position:absolute;margin-left:45.9105pt;margin-top:-9.383713pt;width:2.70568pt;height:82.523237pt;mso-position-horizontal-relative:page;mso-position-vertical-relative:paragraph;z-index:15729152" filled="true" fillcolor="#003366" stroked="false">
            <v:fill type="solid"/>
            <w10:wrap type="none"/>
          </v:rect>
        </w:pict>
      </w:r>
      <w:r>
        <w:rPr/>
        <w:pict>
          <v:rect style="position:absolute;margin-left:70.938042pt;margin-top:-.590253pt;width:2.70568pt;height:51.407918pt;mso-position-horizontal-relative:page;mso-position-vertical-relative:paragraph;z-index:15729664" filled="true" fillcolor="#003366" stroked="false">
            <v:fill type="solid"/>
            <w10:wrap type="none"/>
          </v:rect>
        </w:pict>
      </w:r>
      <w:r>
        <w:rPr>
          <w:color w:val="585858"/>
        </w:rPr>
        <w:t>having effect under Part XVA of the Act as continued in force by section 20 of the Customs Legislation (Tariff Concessions and Anti-Dumping ) Amendment Act</w:t>
      </w:r>
      <w:r>
        <w:rPr>
          <w:color w:val="585858"/>
          <w:spacing w:val="3"/>
        </w:rPr>
        <w:t> </w:t>
      </w:r>
      <w:r>
        <w:rPr>
          <w:color w:val="585858"/>
        </w:rPr>
        <w:t>1992;</w:t>
      </w:r>
    </w:p>
    <w:p>
      <w:pPr>
        <w:pStyle w:val="BodyText"/>
        <w:rPr>
          <w:rFonts w:ascii="Georgia"/>
          <w:i/>
          <w:sz w:val="30"/>
        </w:rPr>
      </w:pPr>
    </w:p>
    <w:p>
      <w:pPr>
        <w:pStyle w:val="BodyText"/>
        <w:rPr>
          <w:rFonts w:ascii="Georgia"/>
          <w:i/>
          <w:sz w:val="30"/>
        </w:rPr>
      </w:pPr>
    </w:p>
    <w:p>
      <w:pPr>
        <w:pStyle w:val="BodyText"/>
        <w:spacing w:before="206"/>
        <w:ind w:left="108"/>
      </w:pPr>
      <w:r>
        <w:rPr/>
        <w:pict>
          <v:rect style="position:absolute;margin-left:45.9105pt;margin-top:21.24015pt;width:2.70568pt;height:112.285716pt;mso-position-horizontal-relative:page;mso-position-vertical-relative:paragraph;z-index:15730176" filled="true" fillcolor="#003366" stroked="false">
            <v:fill type="solid"/>
            <w10:wrap type="none"/>
          </v:rect>
        </w:pict>
      </w:r>
      <w:r>
        <w:rPr/>
        <w:pict>
          <v:rect style="position:absolute;margin-left:70.938042pt;margin-top:30.033609pt;width:2.70568pt;height:81.170397pt;mso-position-horizontal-relative:page;mso-position-vertical-relative:paragraph;z-index:15730688" filled="true" fillcolor="#003366" stroked="false">
            <v:fill type="solid"/>
            <w10:wrap type="none"/>
          </v:rect>
        </w:pict>
      </w:r>
      <w:r>
        <w:rPr/>
        <w:t>and</w:t>
      </w:r>
    </w:p>
    <w:p>
      <w:pPr>
        <w:pStyle w:val="BodyText"/>
        <w:rPr>
          <w:sz w:val="20"/>
        </w:rPr>
      </w:pPr>
    </w:p>
    <w:p>
      <w:pPr>
        <w:pStyle w:val="Heading1"/>
        <w:numPr>
          <w:ilvl w:val="0"/>
          <w:numId w:val="1"/>
        </w:numPr>
        <w:tabs>
          <w:tab w:pos="1542" w:val="left" w:leader="none"/>
        </w:tabs>
        <w:spacing w:line="232" w:lineRule="auto" w:before="166" w:after="0"/>
        <w:ind w:left="1108" w:right="1017" w:firstLine="0"/>
        <w:jc w:val="left"/>
      </w:pPr>
      <w:r>
        <w:rPr>
          <w:color w:val="585858"/>
        </w:rPr>
        <w:t>that was in force on that date." In an endeavour to resolve the situation as quickly as possible, Customs has decided to deem new TCOs and accordingly, wordings similar to the CTCOs listed at the Attachment to this ACN have been declared by the delegate of the CEO under section 269J of the Customs Act 1901, as goods in respect of which a TCO should apply. The TCOs, if successful, will have an operative date of 17 June</w:t>
      </w:r>
      <w:r>
        <w:rPr>
          <w:color w:val="585858"/>
          <w:spacing w:val="35"/>
        </w:rPr>
        <w:t> </w:t>
      </w:r>
      <w:r>
        <w:rPr>
          <w:color w:val="585858"/>
        </w:rPr>
        <w:t>1997.</w:t>
      </w:r>
    </w:p>
    <w:p>
      <w:pPr>
        <w:pStyle w:val="BodyText"/>
        <w:rPr>
          <w:rFonts w:ascii="Georgia"/>
          <w:i/>
          <w:sz w:val="30"/>
        </w:rPr>
      </w:pPr>
    </w:p>
    <w:p>
      <w:pPr>
        <w:pStyle w:val="BodyText"/>
        <w:rPr>
          <w:rFonts w:ascii="Georgia"/>
          <w:i/>
          <w:sz w:val="30"/>
        </w:rPr>
      </w:pPr>
    </w:p>
    <w:p>
      <w:pPr>
        <w:pStyle w:val="BodyText"/>
        <w:spacing w:line="237" w:lineRule="auto" w:before="207"/>
        <w:ind w:left="108"/>
      </w:pPr>
      <w:r>
        <w:rPr/>
        <w:t>The declarations will apply only to those tariff classifications in Schedule 3 to the Customs </w:t>
      </w:r>
      <w:r>
        <w:rPr>
          <w:spacing w:val="-5"/>
        </w:rPr>
        <w:t>Tariff </w:t>
      </w:r>
      <w:r>
        <w:rPr/>
        <w:t>having a 15% general rate of</w:t>
      </w:r>
      <w:r>
        <w:rPr>
          <w:spacing w:val="-3"/>
        </w:rPr>
        <w:t> duty. </w:t>
      </w:r>
      <w:r>
        <w:rPr/>
        <w:t>Other tariff classifications have been eligible for TCOs from the date of revocation of the relevant CTCO.</w:t>
      </w:r>
    </w:p>
    <w:p>
      <w:pPr>
        <w:pStyle w:val="BodyText"/>
        <w:spacing w:before="6"/>
        <w:rPr>
          <w:sz w:val="16"/>
        </w:rPr>
      </w:pPr>
    </w:p>
    <w:p>
      <w:pPr>
        <w:pStyle w:val="BodyText"/>
        <w:spacing w:line="237" w:lineRule="auto"/>
        <w:ind w:left="108" w:right="134"/>
      </w:pPr>
      <w:r>
        <w:rPr/>
        <w:t>CTCOs 9607752 and 9606819, which covered certain sound reproducers and certain transmission belts respectively, have not been included. It is considered that the goods are covered by the broader terminology that is set out in other proposed replacement TCOs.</w:t>
      </w:r>
    </w:p>
    <w:p>
      <w:pPr>
        <w:spacing w:after="0" w:line="237" w:lineRule="auto"/>
        <w:sectPr>
          <w:type w:val="continuous"/>
          <w:pgSz w:w="16840" w:h="11900" w:orient="landscape"/>
          <w:pgMar w:top="680" w:bottom="280" w:left="580" w:right="440"/>
        </w:sectPr>
      </w:pPr>
    </w:p>
    <w:p>
      <w:pPr>
        <w:pStyle w:val="BodyText"/>
        <w:spacing w:line="237" w:lineRule="auto" w:before="79"/>
        <w:ind w:left="108" w:right="335"/>
      </w:pPr>
      <w:r>
        <w:rPr/>
        <w:t>A replacement TCO for CTCO No. 9613090, which covers certain diesel engine parts, will not be deemed. The wording of the CTCO is written in negative terminology which is not acceptable for creating a replacement TCO. Accordingly, those wishing to avail themselves of a replacement TCO are requested to lodge a new application for those goods, in positive terms, bearing in mind that the scope of any such TCO must not be greater than the coverage of revoked CTCO No. 9613090.</w:t>
      </w:r>
    </w:p>
    <w:p>
      <w:pPr>
        <w:pStyle w:val="BodyText"/>
        <w:spacing w:before="4"/>
        <w:rPr>
          <w:sz w:val="16"/>
        </w:rPr>
      </w:pPr>
    </w:p>
    <w:p>
      <w:pPr>
        <w:pStyle w:val="Heading3"/>
      </w:pPr>
      <w:r>
        <w:rPr/>
        <w:t>"Super Touring" Racing Cars</w:t>
      </w:r>
    </w:p>
    <w:p>
      <w:pPr>
        <w:pStyle w:val="BodyText"/>
        <w:spacing w:before="5"/>
        <w:rPr>
          <w:b/>
          <w:sz w:val="16"/>
        </w:rPr>
      </w:pPr>
    </w:p>
    <w:p>
      <w:pPr>
        <w:pStyle w:val="BodyText"/>
        <w:spacing w:line="237" w:lineRule="auto"/>
        <w:ind w:left="108" w:right="221"/>
      </w:pPr>
      <w:r>
        <w:rPr/>
        <w:t>The Minister for Industry, Science and</w:t>
      </w:r>
      <w:r>
        <w:rPr>
          <w:spacing w:val="-3"/>
        </w:rPr>
        <w:t> Tourism, </w:t>
      </w:r>
      <w:r>
        <w:rPr/>
        <w:t>the Hon John Moore, has also given approval for "super touring" racing cars to be eligible for a TCO by removing them from Column 2 of Item 38 of Schedule 2 to the Customs Regulations - the Excluded Goods Schedule (EGS).</w:t>
      </w:r>
    </w:p>
    <w:p>
      <w:pPr>
        <w:pStyle w:val="BodyText"/>
        <w:spacing w:before="4"/>
        <w:rPr>
          <w:sz w:val="16"/>
        </w:rPr>
      </w:pPr>
    </w:p>
    <w:p>
      <w:pPr>
        <w:pStyle w:val="BodyText"/>
        <w:ind w:left="108"/>
      </w:pPr>
      <w:r>
        <w:rPr/>
        <w:t>The amendments allow Item 38 of the EGS to include vehicles:</w:t>
      </w:r>
    </w:p>
    <w:p>
      <w:pPr>
        <w:pStyle w:val="BodyText"/>
        <w:rPr>
          <w:sz w:val="20"/>
        </w:rPr>
      </w:pPr>
    </w:p>
    <w:p>
      <w:pPr>
        <w:pStyle w:val="ListParagraph"/>
        <w:numPr>
          <w:ilvl w:val="0"/>
          <w:numId w:val="2"/>
        </w:numPr>
        <w:tabs>
          <w:tab w:pos="924" w:val="left" w:leader="none"/>
        </w:tabs>
        <w:spacing w:line="240" w:lineRule="auto" w:before="137" w:after="0"/>
        <w:ind w:left="923" w:right="0" w:hanging="357"/>
        <w:jc w:val="left"/>
        <w:rPr>
          <w:i/>
          <w:sz w:val="22"/>
        </w:rPr>
      </w:pPr>
      <w:r>
        <w:rPr/>
        <w:pict>
          <v:rect style="position:absolute;margin-left:45.9105pt;margin-top:-2.00284pt;width:2.70568pt;height:30.438899pt;mso-position-horizontal-relative:page;mso-position-vertical-relative:paragraph;z-index:15731712" filled="true" fillcolor="#003366" stroked="false">
            <v:fill type="solid"/>
            <w10:wrap type="none"/>
          </v:rect>
        </w:pict>
      </w:r>
      <w:r>
        <w:rPr>
          <w:i/>
          <w:color w:val="585858"/>
          <w:w w:val="105"/>
          <w:sz w:val="22"/>
        </w:rPr>
        <w:t>that</w:t>
      </w:r>
      <w:r>
        <w:rPr>
          <w:i/>
          <w:color w:val="585858"/>
          <w:spacing w:val="-4"/>
          <w:w w:val="105"/>
          <w:sz w:val="22"/>
        </w:rPr>
        <w:t> </w:t>
      </w:r>
      <w:r>
        <w:rPr>
          <w:i/>
          <w:color w:val="585858"/>
          <w:w w:val="105"/>
          <w:sz w:val="22"/>
        </w:rPr>
        <w:t>are</w:t>
      </w:r>
      <w:r>
        <w:rPr>
          <w:i/>
          <w:color w:val="585858"/>
          <w:spacing w:val="-4"/>
          <w:w w:val="105"/>
          <w:sz w:val="22"/>
        </w:rPr>
        <w:t> </w:t>
      </w:r>
      <w:r>
        <w:rPr>
          <w:i/>
          <w:color w:val="585858"/>
          <w:w w:val="105"/>
          <w:sz w:val="22"/>
        </w:rPr>
        <w:t>classified</w:t>
      </w:r>
      <w:r>
        <w:rPr>
          <w:i/>
          <w:color w:val="585858"/>
          <w:spacing w:val="-4"/>
          <w:w w:val="105"/>
          <w:sz w:val="22"/>
        </w:rPr>
        <w:t> </w:t>
      </w:r>
      <w:r>
        <w:rPr>
          <w:i/>
          <w:color w:val="585858"/>
          <w:w w:val="105"/>
          <w:sz w:val="22"/>
        </w:rPr>
        <w:t>within</w:t>
      </w:r>
      <w:r>
        <w:rPr>
          <w:i/>
          <w:color w:val="585858"/>
          <w:spacing w:val="-3"/>
          <w:w w:val="105"/>
          <w:sz w:val="22"/>
        </w:rPr>
        <w:t> </w:t>
      </w:r>
      <w:r>
        <w:rPr>
          <w:i/>
          <w:color w:val="585858"/>
          <w:w w:val="105"/>
          <w:sz w:val="22"/>
        </w:rPr>
        <w:t>subheadings</w:t>
      </w:r>
      <w:r>
        <w:rPr>
          <w:i/>
          <w:color w:val="585858"/>
          <w:spacing w:val="-4"/>
          <w:w w:val="105"/>
          <w:sz w:val="22"/>
        </w:rPr>
        <w:t> </w:t>
      </w:r>
      <w:r>
        <w:rPr>
          <w:i/>
          <w:color w:val="585858"/>
          <w:w w:val="105"/>
          <w:sz w:val="22"/>
        </w:rPr>
        <w:t>8703.23.20</w:t>
      </w:r>
      <w:r>
        <w:rPr>
          <w:i/>
          <w:color w:val="585858"/>
          <w:spacing w:val="-4"/>
          <w:w w:val="105"/>
          <w:sz w:val="22"/>
        </w:rPr>
        <w:t> </w:t>
      </w:r>
      <w:r>
        <w:rPr>
          <w:i/>
          <w:color w:val="585858"/>
          <w:w w:val="105"/>
          <w:sz w:val="22"/>
        </w:rPr>
        <w:t>or</w:t>
      </w:r>
      <w:r>
        <w:rPr>
          <w:i/>
          <w:color w:val="585858"/>
          <w:spacing w:val="-3"/>
          <w:w w:val="105"/>
          <w:sz w:val="22"/>
        </w:rPr>
        <w:t> </w:t>
      </w:r>
      <w:r>
        <w:rPr>
          <w:i/>
          <w:color w:val="585858"/>
          <w:w w:val="105"/>
          <w:sz w:val="22"/>
        </w:rPr>
        <w:t>8703.23.90</w:t>
      </w:r>
      <w:r>
        <w:rPr>
          <w:i/>
          <w:color w:val="585858"/>
          <w:spacing w:val="-4"/>
          <w:w w:val="105"/>
          <w:sz w:val="22"/>
        </w:rPr>
        <w:t> </w:t>
      </w:r>
      <w:r>
        <w:rPr>
          <w:i/>
          <w:color w:val="585858"/>
          <w:w w:val="105"/>
          <w:sz w:val="22"/>
        </w:rPr>
        <w:t>of</w:t>
      </w:r>
      <w:r>
        <w:rPr>
          <w:i/>
          <w:color w:val="585858"/>
          <w:spacing w:val="-4"/>
          <w:w w:val="105"/>
          <w:sz w:val="22"/>
        </w:rPr>
        <w:t> </w:t>
      </w:r>
      <w:r>
        <w:rPr>
          <w:i/>
          <w:color w:val="585858"/>
          <w:w w:val="105"/>
          <w:sz w:val="22"/>
        </w:rPr>
        <w:t>Schedule</w:t>
      </w:r>
      <w:r>
        <w:rPr>
          <w:i/>
          <w:color w:val="585858"/>
          <w:spacing w:val="-3"/>
          <w:w w:val="105"/>
          <w:sz w:val="22"/>
        </w:rPr>
        <w:t> </w:t>
      </w:r>
      <w:r>
        <w:rPr>
          <w:i/>
          <w:color w:val="585858"/>
          <w:w w:val="105"/>
          <w:sz w:val="22"/>
        </w:rPr>
        <w:t>3</w:t>
      </w:r>
      <w:r>
        <w:rPr>
          <w:i/>
          <w:color w:val="585858"/>
          <w:spacing w:val="-4"/>
          <w:w w:val="105"/>
          <w:sz w:val="22"/>
        </w:rPr>
        <w:t> </w:t>
      </w:r>
      <w:r>
        <w:rPr>
          <w:i/>
          <w:color w:val="585858"/>
          <w:w w:val="105"/>
          <w:sz w:val="22"/>
        </w:rPr>
        <w:t>to</w:t>
      </w:r>
      <w:r>
        <w:rPr>
          <w:i/>
          <w:color w:val="585858"/>
          <w:spacing w:val="-4"/>
          <w:w w:val="105"/>
          <w:sz w:val="22"/>
        </w:rPr>
        <w:t> </w:t>
      </w:r>
      <w:r>
        <w:rPr>
          <w:i/>
          <w:color w:val="585858"/>
          <w:w w:val="105"/>
          <w:sz w:val="22"/>
        </w:rPr>
        <w:t>the</w:t>
      </w:r>
      <w:r>
        <w:rPr>
          <w:i/>
          <w:color w:val="585858"/>
          <w:spacing w:val="-4"/>
          <w:w w:val="105"/>
          <w:sz w:val="22"/>
        </w:rPr>
        <w:t> </w:t>
      </w:r>
      <w:r>
        <w:rPr>
          <w:i/>
          <w:color w:val="585858"/>
          <w:w w:val="105"/>
          <w:sz w:val="22"/>
        </w:rPr>
        <w:t>Customs</w:t>
      </w:r>
      <w:r>
        <w:rPr>
          <w:i/>
          <w:color w:val="585858"/>
          <w:spacing w:val="-3"/>
          <w:w w:val="105"/>
          <w:sz w:val="22"/>
        </w:rPr>
        <w:t> </w:t>
      </w:r>
      <w:r>
        <w:rPr>
          <w:i/>
          <w:color w:val="585858"/>
          <w:w w:val="105"/>
          <w:sz w:val="22"/>
        </w:rPr>
        <w:t>Tariff</w:t>
      </w:r>
      <w:r>
        <w:rPr>
          <w:i/>
          <w:color w:val="585858"/>
          <w:spacing w:val="-4"/>
          <w:w w:val="105"/>
          <w:sz w:val="22"/>
        </w:rPr>
        <w:t> </w:t>
      </w:r>
      <w:r>
        <w:rPr>
          <w:i/>
          <w:color w:val="585858"/>
          <w:w w:val="105"/>
          <w:sz w:val="22"/>
        </w:rPr>
        <w:t>Act</w:t>
      </w:r>
      <w:r>
        <w:rPr>
          <w:i/>
          <w:color w:val="585858"/>
          <w:spacing w:val="-4"/>
          <w:w w:val="105"/>
          <w:sz w:val="22"/>
        </w:rPr>
        <w:t> </w:t>
      </w:r>
      <w:r>
        <w:rPr>
          <w:i/>
          <w:color w:val="585858"/>
          <w:w w:val="105"/>
          <w:sz w:val="22"/>
        </w:rPr>
        <w:t>1995;</w:t>
      </w:r>
    </w:p>
    <w:p>
      <w:pPr>
        <w:pStyle w:val="BodyText"/>
        <w:spacing w:before="9"/>
        <w:rPr>
          <w:rFonts w:ascii="Georgia"/>
          <w:i/>
          <w:sz w:val="27"/>
        </w:rPr>
      </w:pPr>
    </w:p>
    <w:p>
      <w:pPr>
        <w:spacing w:after="0"/>
        <w:rPr>
          <w:rFonts w:ascii="Georgia"/>
          <w:sz w:val="27"/>
        </w:rPr>
        <w:sectPr>
          <w:pgSz w:w="16840" w:h="11900" w:orient="landscape"/>
          <w:pgMar w:top="500" w:bottom="280" w:left="580" w:right="440"/>
        </w:sectPr>
      </w:pPr>
    </w:p>
    <w:p>
      <w:pPr>
        <w:pStyle w:val="BodyText"/>
        <w:spacing w:before="94"/>
        <w:ind w:left="108"/>
      </w:pPr>
      <w:r>
        <w:rPr/>
        <w:pict>
          <v:rect style="position:absolute;margin-left:45.9105pt;margin-top:15.640144pt;width:2.70568pt;height:31.115319pt;mso-position-horizontal-relative:page;mso-position-vertical-relative:paragraph;z-index:15732224" filled="true" fillcolor="#003366" stroked="false">
            <v:fill type="solid"/>
            <w10:wrap type="none"/>
          </v:rect>
        </w:pict>
      </w:r>
      <w:r>
        <w:rPr>
          <w:w w:val="95"/>
        </w:rPr>
        <w:t>and</w:t>
      </w:r>
    </w:p>
    <w:p>
      <w:pPr>
        <w:pStyle w:val="BodyText"/>
        <w:rPr>
          <w:sz w:val="26"/>
        </w:rPr>
      </w:pPr>
      <w:r>
        <w:rPr/>
        <w:br w:type="column"/>
      </w:r>
      <w:r>
        <w:rPr>
          <w:sz w:val="26"/>
        </w:rPr>
      </w:r>
    </w:p>
    <w:p>
      <w:pPr>
        <w:pStyle w:val="Heading2"/>
        <w:numPr>
          <w:ilvl w:val="0"/>
          <w:numId w:val="2"/>
        </w:numPr>
        <w:tabs>
          <w:tab w:pos="455" w:val="left" w:leader="none"/>
        </w:tabs>
        <w:spacing w:line="240" w:lineRule="auto" w:before="191" w:after="0"/>
        <w:ind w:left="454" w:right="0" w:hanging="352"/>
        <w:jc w:val="left"/>
      </w:pPr>
      <w:r>
        <w:rPr>
          <w:color w:val="585858"/>
          <w:w w:val="105"/>
        </w:rPr>
        <w:t>for</w:t>
      </w:r>
      <w:r>
        <w:rPr>
          <w:color w:val="585858"/>
          <w:spacing w:val="-4"/>
          <w:w w:val="105"/>
        </w:rPr>
        <w:t> </w:t>
      </w:r>
      <w:r>
        <w:rPr>
          <w:color w:val="585858"/>
          <w:w w:val="105"/>
        </w:rPr>
        <w:t>which</w:t>
      </w:r>
      <w:r>
        <w:rPr>
          <w:color w:val="585858"/>
          <w:spacing w:val="-4"/>
          <w:w w:val="105"/>
        </w:rPr>
        <w:t> </w:t>
      </w:r>
      <w:r>
        <w:rPr>
          <w:color w:val="585858"/>
          <w:w w:val="105"/>
        </w:rPr>
        <w:t>a</w:t>
      </w:r>
      <w:r>
        <w:rPr>
          <w:color w:val="585858"/>
          <w:spacing w:val="-3"/>
          <w:w w:val="105"/>
        </w:rPr>
        <w:t> </w:t>
      </w:r>
      <w:r>
        <w:rPr>
          <w:color w:val="585858"/>
          <w:w w:val="105"/>
        </w:rPr>
        <w:t>written</w:t>
      </w:r>
      <w:r>
        <w:rPr>
          <w:color w:val="585858"/>
          <w:spacing w:val="-4"/>
          <w:w w:val="105"/>
        </w:rPr>
        <w:t> </w:t>
      </w:r>
      <w:r>
        <w:rPr>
          <w:color w:val="585858"/>
          <w:w w:val="105"/>
        </w:rPr>
        <w:t>approval</w:t>
      </w:r>
      <w:r>
        <w:rPr>
          <w:color w:val="585858"/>
          <w:spacing w:val="-4"/>
          <w:w w:val="105"/>
        </w:rPr>
        <w:t> </w:t>
      </w:r>
      <w:r>
        <w:rPr>
          <w:color w:val="585858"/>
          <w:w w:val="105"/>
        </w:rPr>
        <w:t>has</w:t>
      </w:r>
      <w:r>
        <w:rPr>
          <w:color w:val="585858"/>
          <w:spacing w:val="-3"/>
          <w:w w:val="105"/>
        </w:rPr>
        <w:t> </w:t>
      </w:r>
      <w:r>
        <w:rPr>
          <w:color w:val="585858"/>
          <w:w w:val="105"/>
        </w:rPr>
        <w:t>been</w:t>
      </w:r>
      <w:r>
        <w:rPr>
          <w:color w:val="585858"/>
          <w:spacing w:val="-4"/>
          <w:w w:val="105"/>
        </w:rPr>
        <w:t> </w:t>
      </w:r>
      <w:r>
        <w:rPr>
          <w:color w:val="585858"/>
          <w:w w:val="105"/>
        </w:rPr>
        <w:t>given</w:t>
      </w:r>
      <w:r>
        <w:rPr>
          <w:color w:val="585858"/>
          <w:spacing w:val="-3"/>
          <w:w w:val="105"/>
        </w:rPr>
        <w:t> </w:t>
      </w:r>
      <w:r>
        <w:rPr>
          <w:color w:val="585858"/>
          <w:w w:val="105"/>
        </w:rPr>
        <w:t>under</w:t>
      </w:r>
      <w:r>
        <w:rPr>
          <w:color w:val="585858"/>
          <w:spacing w:val="-4"/>
          <w:w w:val="105"/>
        </w:rPr>
        <w:t> </w:t>
      </w:r>
      <w:r>
        <w:rPr>
          <w:color w:val="585858"/>
          <w:w w:val="105"/>
        </w:rPr>
        <w:t>subsection</w:t>
      </w:r>
      <w:r>
        <w:rPr>
          <w:color w:val="585858"/>
          <w:spacing w:val="-4"/>
          <w:w w:val="105"/>
        </w:rPr>
        <w:t> </w:t>
      </w:r>
      <w:r>
        <w:rPr>
          <w:color w:val="585858"/>
          <w:w w:val="105"/>
        </w:rPr>
        <w:t>19</w:t>
      </w:r>
      <w:r>
        <w:rPr>
          <w:color w:val="585858"/>
          <w:spacing w:val="-3"/>
          <w:w w:val="105"/>
        </w:rPr>
        <w:t> </w:t>
      </w:r>
      <w:r>
        <w:rPr>
          <w:color w:val="585858"/>
          <w:w w:val="105"/>
        </w:rPr>
        <w:t>(1)</w:t>
      </w:r>
      <w:r>
        <w:rPr>
          <w:color w:val="585858"/>
          <w:spacing w:val="-4"/>
          <w:w w:val="105"/>
        </w:rPr>
        <w:t> </w:t>
      </w:r>
      <w:r>
        <w:rPr>
          <w:color w:val="585858"/>
          <w:w w:val="105"/>
        </w:rPr>
        <w:t>of</w:t>
      </w:r>
      <w:r>
        <w:rPr>
          <w:color w:val="585858"/>
          <w:spacing w:val="-3"/>
          <w:w w:val="105"/>
        </w:rPr>
        <w:t> </w:t>
      </w:r>
      <w:r>
        <w:rPr>
          <w:color w:val="585858"/>
          <w:w w:val="105"/>
        </w:rPr>
        <w:t>the</w:t>
      </w:r>
      <w:r>
        <w:rPr>
          <w:color w:val="585858"/>
          <w:spacing w:val="-4"/>
          <w:w w:val="105"/>
        </w:rPr>
        <w:t> </w:t>
      </w:r>
      <w:r>
        <w:rPr>
          <w:color w:val="585858"/>
          <w:w w:val="105"/>
        </w:rPr>
        <w:t>Motor</w:t>
      </w:r>
      <w:r>
        <w:rPr>
          <w:color w:val="585858"/>
          <w:spacing w:val="-4"/>
          <w:w w:val="105"/>
        </w:rPr>
        <w:t> </w:t>
      </w:r>
      <w:r>
        <w:rPr>
          <w:color w:val="585858"/>
          <w:w w:val="105"/>
        </w:rPr>
        <w:t>Vehicle</w:t>
      </w:r>
      <w:r>
        <w:rPr>
          <w:color w:val="585858"/>
          <w:spacing w:val="-3"/>
          <w:w w:val="105"/>
        </w:rPr>
        <w:t> </w:t>
      </w:r>
      <w:r>
        <w:rPr>
          <w:color w:val="585858"/>
          <w:w w:val="105"/>
        </w:rPr>
        <w:t>Standards</w:t>
      </w:r>
      <w:r>
        <w:rPr>
          <w:color w:val="585858"/>
          <w:spacing w:val="-4"/>
          <w:w w:val="105"/>
        </w:rPr>
        <w:t> </w:t>
      </w:r>
      <w:r>
        <w:rPr>
          <w:color w:val="585858"/>
          <w:w w:val="105"/>
        </w:rPr>
        <w:t>Act</w:t>
      </w:r>
      <w:r>
        <w:rPr>
          <w:color w:val="585858"/>
          <w:spacing w:val="-4"/>
          <w:w w:val="105"/>
        </w:rPr>
        <w:t> </w:t>
      </w:r>
      <w:r>
        <w:rPr>
          <w:color w:val="585858"/>
          <w:w w:val="105"/>
        </w:rPr>
        <w:t>1989;</w:t>
      </w:r>
    </w:p>
    <w:p>
      <w:pPr>
        <w:spacing w:after="0" w:line="240" w:lineRule="auto"/>
        <w:jc w:val="left"/>
        <w:sectPr>
          <w:type w:val="continuous"/>
          <w:pgSz w:w="16840" w:h="11900" w:orient="landscape"/>
          <w:pgMar w:top="680" w:bottom="280" w:left="580" w:right="440"/>
          <w:cols w:num="2" w:equalWidth="0">
            <w:col w:w="425" w:space="40"/>
            <w:col w:w="15355"/>
          </w:cols>
        </w:sectPr>
      </w:pPr>
    </w:p>
    <w:p>
      <w:pPr>
        <w:pStyle w:val="BodyText"/>
        <w:spacing w:before="9"/>
        <w:rPr>
          <w:rFonts w:ascii="Georgia"/>
          <w:i/>
          <w:sz w:val="27"/>
        </w:rPr>
      </w:pPr>
    </w:p>
    <w:p>
      <w:pPr>
        <w:pStyle w:val="BodyText"/>
        <w:spacing w:before="93"/>
        <w:ind w:left="108"/>
      </w:pPr>
      <w:r>
        <w:rPr/>
        <w:t>and</w:t>
      </w:r>
    </w:p>
    <w:p>
      <w:pPr>
        <w:pStyle w:val="BodyText"/>
        <w:rPr>
          <w:sz w:val="20"/>
        </w:rPr>
      </w:pPr>
    </w:p>
    <w:p>
      <w:pPr>
        <w:pStyle w:val="BodyText"/>
        <w:spacing w:before="5"/>
        <w:rPr>
          <w:sz w:val="21"/>
        </w:rPr>
      </w:pPr>
    </w:p>
    <w:p>
      <w:pPr>
        <w:pStyle w:val="Heading2"/>
        <w:numPr>
          <w:ilvl w:val="0"/>
          <w:numId w:val="2"/>
        </w:numPr>
        <w:tabs>
          <w:tab w:pos="897" w:val="left" w:leader="none"/>
        </w:tabs>
        <w:spacing w:line="247" w:lineRule="auto" w:before="107" w:after="0"/>
        <w:ind w:left="567" w:right="839" w:firstLine="0"/>
        <w:jc w:val="left"/>
      </w:pPr>
      <w:r>
        <w:rPr/>
        <w:pict>
          <v:rect style="position:absolute;margin-left:45.9105pt;margin-top:-3.502842pt;width:2.70568pt;height:43.967298pt;mso-position-horizontal-relative:page;mso-position-vertical-relative:paragraph;z-index:15732736" filled="true" fillcolor="#003366" stroked="false">
            <v:fill type="solid"/>
            <w10:wrap type="none"/>
          </v:rect>
        </w:pict>
      </w:r>
      <w:r>
        <w:rPr>
          <w:color w:val="585858"/>
          <w:w w:val="105"/>
        </w:rPr>
        <w:t>that</w:t>
      </w:r>
      <w:r>
        <w:rPr>
          <w:color w:val="585858"/>
          <w:spacing w:val="-11"/>
          <w:w w:val="105"/>
        </w:rPr>
        <w:t> </w:t>
      </w:r>
      <w:r>
        <w:rPr>
          <w:color w:val="585858"/>
          <w:w w:val="105"/>
        </w:rPr>
        <w:t>comply</w:t>
      </w:r>
      <w:r>
        <w:rPr>
          <w:color w:val="585858"/>
          <w:spacing w:val="-11"/>
          <w:w w:val="105"/>
        </w:rPr>
        <w:t> </w:t>
      </w:r>
      <w:r>
        <w:rPr>
          <w:color w:val="585858"/>
          <w:w w:val="105"/>
        </w:rPr>
        <w:t>with</w:t>
      </w:r>
      <w:r>
        <w:rPr>
          <w:color w:val="585858"/>
          <w:spacing w:val="-11"/>
          <w:w w:val="105"/>
        </w:rPr>
        <w:t> </w:t>
      </w:r>
      <w:r>
        <w:rPr>
          <w:color w:val="585858"/>
          <w:w w:val="105"/>
        </w:rPr>
        <w:t>the</w:t>
      </w:r>
      <w:r>
        <w:rPr>
          <w:color w:val="585858"/>
          <w:spacing w:val="-11"/>
          <w:w w:val="105"/>
        </w:rPr>
        <w:t> </w:t>
      </w:r>
      <w:r>
        <w:rPr>
          <w:color w:val="585858"/>
          <w:w w:val="105"/>
        </w:rPr>
        <w:t>regulations</w:t>
      </w:r>
      <w:r>
        <w:rPr>
          <w:color w:val="585858"/>
          <w:spacing w:val="-11"/>
          <w:w w:val="105"/>
        </w:rPr>
        <w:t> </w:t>
      </w:r>
      <w:r>
        <w:rPr>
          <w:color w:val="585858"/>
          <w:w w:val="105"/>
        </w:rPr>
        <w:t>for</w:t>
      </w:r>
      <w:r>
        <w:rPr>
          <w:color w:val="585858"/>
          <w:spacing w:val="-11"/>
          <w:w w:val="105"/>
        </w:rPr>
        <w:t> </w:t>
      </w:r>
      <w:r>
        <w:rPr>
          <w:color w:val="585858"/>
          <w:w w:val="105"/>
        </w:rPr>
        <w:t>Group</w:t>
      </w:r>
      <w:r>
        <w:rPr>
          <w:color w:val="585858"/>
          <w:spacing w:val="-11"/>
          <w:w w:val="105"/>
        </w:rPr>
        <w:t> </w:t>
      </w:r>
      <w:r>
        <w:rPr>
          <w:color w:val="585858"/>
          <w:w w:val="105"/>
        </w:rPr>
        <w:t>3B</w:t>
      </w:r>
      <w:r>
        <w:rPr>
          <w:color w:val="585858"/>
          <w:spacing w:val="-11"/>
          <w:w w:val="105"/>
        </w:rPr>
        <w:t> </w:t>
      </w:r>
      <w:r>
        <w:rPr>
          <w:color w:val="585858"/>
          <w:w w:val="105"/>
        </w:rPr>
        <w:t>motor</w:t>
      </w:r>
      <w:r>
        <w:rPr>
          <w:color w:val="585858"/>
          <w:spacing w:val="-11"/>
          <w:w w:val="105"/>
        </w:rPr>
        <w:t> </w:t>
      </w:r>
      <w:r>
        <w:rPr>
          <w:color w:val="585858"/>
          <w:w w:val="105"/>
        </w:rPr>
        <w:t>racing</w:t>
      </w:r>
      <w:r>
        <w:rPr>
          <w:color w:val="585858"/>
          <w:spacing w:val="-11"/>
          <w:w w:val="105"/>
        </w:rPr>
        <w:t> </w:t>
      </w:r>
      <w:r>
        <w:rPr>
          <w:color w:val="585858"/>
          <w:w w:val="105"/>
        </w:rPr>
        <w:t>set</w:t>
      </w:r>
      <w:r>
        <w:rPr>
          <w:color w:val="585858"/>
          <w:spacing w:val="-11"/>
          <w:w w:val="105"/>
        </w:rPr>
        <w:t> </w:t>
      </w:r>
      <w:r>
        <w:rPr>
          <w:color w:val="585858"/>
          <w:w w:val="105"/>
        </w:rPr>
        <w:t>out</w:t>
      </w:r>
      <w:r>
        <w:rPr>
          <w:color w:val="585858"/>
          <w:spacing w:val="-11"/>
          <w:w w:val="105"/>
        </w:rPr>
        <w:t> </w:t>
      </w:r>
      <w:r>
        <w:rPr>
          <w:color w:val="585858"/>
          <w:w w:val="105"/>
        </w:rPr>
        <w:t>in</w:t>
      </w:r>
      <w:r>
        <w:rPr>
          <w:color w:val="585858"/>
          <w:spacing w:val="-11"/>
          <w:w w:val="105"/>
        </w:rPr>
        <w:t> </w:t>
      </w:r>
      <w:r>
        <w:rPr>
          <w:color w:val="585858"/>
          <w:w w:val="105"/>
        </w:rPr>
        <w:t>the</w:t>
      </w:r>
      <w:r>
        <w:rPr>
          <w:color w:val="585858"/>
          <w:spacing w:val="-11"/>
          <w:w w:val="105"/>
        </w:rPr>
        <w:t> </w:t>
      </w:r>
      <w:r>
        <w:rPr>
          <w:color w:val="585858"/>
          <w:w w:val="105"/>
        </w:rPr>
        <w:t>"1997</w:t>
      </w:r>
      <w:r>
        <w:rPr>
          <w:color w:val="585858"/>
          <w:spacing w:val="-11"/>
          <w:w w:val="105"/>
        </w:rPr>
        <w:t> </w:t>
      </w:r>
      <w:r>
        <w:rPr>
          <w:color w:val="585858"/>
          <w:w w:val="105"/>
        </w:rPr>
        <w:t>Manual</w:t>
      </w:r>
      <w:r>
        <w:rPr>
          <w:color w:val="585858"/>
          <w:spacing w:val="-11"/>
          <w:w w:val="105"/>
        </w:rPr>
        <w:t> </w:t>
      </w:r>
      <w:r>
        <w:rPr>
          <w:color w:val="585858"/>
          <w:w w:val="105"/>
        </w:rPr>
        <w:t>of</w:t>
      </w:r>
      <w:r>
        <w:rPr>
          <w:color w:val="585858"/>
          <w:spacing w:val="-11"/>
          <w:w w:val="105"/>
        </w:rPr>
        <w:t> </w:t>
      </w:r>
      <w:r>
        <w:rPr>
          <w:color w:val="585858"/>
          <w:w w:val="105"/>
        </w:rPr>
        <w:t>Motor</w:t>
      </w:r>
      <w:r>
        <w:rPr>
          <w:color w:val="585858"/>
          <w:spacing w:val="-11"/>
          <w:w w:val="105"/>
        </w:rPr>
        <w:t> </w:t>
      </w:r>
      <w:r>
        <w:rPr>
          <w:color w:val="585858"/>
          <w:w w:val="105"/>
        </w:rPr>
        <w:t>Sport"</w:t>
      </w:r>
      <w:r>
        <w:rPr>
          <w:color w:val="585858"/>
          <w:spacing w:val="-11"/>
          <w:w w:val="105"/>
        </w:rPr>
        <w:t> </w:t>
      </w:r>
      <w:r>
        <w:rPr>
          <w:color w:val="585858"/>
          <w:w w:val="105"/>
        </w:rPr>
        <w:t>published</w:t>
      </w:r>
      <w:r>
        <w:rPr>
          <w:color w:val="585858"/>
          <w:spacing w:val="-11"/>
          <w:w w:val="105"/>
        </w:rPr>
        <w:t> </w:t>
      </w:r>
      <w:r>
        <w:rPr>
          <w:color w:val="585858"/>
          <w:w w:val="105"/>
        </w:rPr>
        <w:t>by</w:t>
      </w:r>
      <w:r>
        <w:rPr>
          <w:color w:val="585858"/>
          <w:spacing w:val="-11"/>
          <w:w w:val="105"/>
        </w:rPr>
        <w:t> </w:t>
      </w:r>
      <w:r>
        <w:rPr>
          <w:color w:val="585858"/>
          <w:w w:val="105"/>
        </w:rPr>
        <w:t>the</w:t>
      </w:r>
      <w:r>
        <w:rPr>
          <w:color w:val="585858"/>
          <w:spacing w:val="-11"/>
          <w:w w:val="105"/>
        </w:rPr>
        <w:t> </w:t>
      </w:r>
      <w:r>
        <w:rPr>
          <w:color w:val="585858"/>
          <w:w w:val="105"/>
        </w:rPr>
        <w:t>Confederation</w:t>
      </w:r>
      <w:r>
        <w:rPr>
          <w:color w:val="585858"/>
          <w:spacing w:val="-11"/>
          <w:w w:val="105"/>
        </w:rPr>
        <w:t> </w:t>
      </w:r>
      <w:r>
        <w:rPr>
          <w:color w:val="585858"/>
          <w:w w:val="105"/>
        </w:rPr>
        <w:t>of Australian Motor</w:t>
      </w:r>
      <w:r>
        <w:rPr>
          <w:color w:val="585858"/>
          <w:spacing w:val="-4"/>
          <w:w w:val="105"/>
        </w:rPr>
        <w:t> </w:t>
      </w:r>
      <w:r>
        <w:rPr>
          <w:color w:val="585858"/>
          <w:w w:val="105"/>
        </w:rPr>
        <w:t>Sports.</w:t>
      </w:r>
    </w:p>
    <w:p>
      <w:pPr>
        <w:pStyle w:val="BodyText"/>
        <w:spacing w:before="6"/>
        <w:rPr>
          <w:rFonts w:ascii="Georgia"/>
          <w:i/>
          <w:sz w:val="36"/>
        </w:rPr>
      </w:pPr>
    </w:p>
    <w:p>
      <w:pPr>
        <w:pStyle w:val="BodyText"/>
        <w:spacing w:line="446" w:lineRule="auto"/>
        <w:ind w:left="108" w:right="8645"/>
      </w:pPr>
      <w:r>
        <w:rPr/>
        <w:t>Any enquiries in respect of this Notice should be directed to </w:t>
      </w:r>
      <w:r>
        <w:rPr>
          <w:b/>
        </w:rPr>
        <w:t>Mr Bruce Walters </w:t>
      </w:r>
      <w:r>
        <w:rPr/>
        <w:t>on 06 2756434.</w:t>
      </w:r>
    </w:p>
    <w:p>
      <w:pPr>
        <w:pStyle w:val="BodyText"/>
        <w:spacing w:line="216" w:lineRule="exact"/>
        <w:ind w:left="108"/>
      </w:pPr>
      <w:r>
        <w:rPr/>
        <w:t>MARION GRANT</w:t>
      </w:r>
    </w:p>
    <w:p>
      <w:pPr>
        <w:pStyle w:val="BodyText"/>
        <w:spacing w:line="237" w:lineRule="auto" w:before="1"/>
        <w:ind w:left="108" w:right="13503"/>
      </w:pPr>
      <w:r>
        <w:rPr/>
        <w:t>National Manager, Industry</w:t>
      </w:r>
    </w:p>
    <w:p>
      <w:pPr>
        <w:pStyle w:val="BodyText"/>
        <w:spacing w:before="5"/>
        <w:rPr>
          <w:sz w:val="16"/>
        </w:rPr>
      </w:pPr>
    </w:p>
    <w:p>
      <w:pPr>
        <w:pStyle w:val="BodyText"/>
        <w:spacing w:line="237" w:lineRule="auto"/>
        <w:ind w:left="108" w:right="11636"/>
      </w:pPr>
      <w:r>
        <w:rPr/>
        <w:t>FOR CHIEF EXECUTIVE OFFICER CANBERRA ACT 2601</w:t>
      </w:r>
    </w:p>
    <w:p>
      <w:pPr>
        <w:pStyle w:val="BodyText"/>
        <w:spacing w:before="4"/>
        <w:rPr>
          <w:sz w:val="16"/>
        </w:rPr>
      </w:pPr>
    </w:p>
    <w:p>
      <w:pPr>
        <w:pStyle w:val="BodyText"/>
        <w:ind w:left="108"/>
      </w:pPr>
      <w:r>
        <w:rPr/>
        <w:t>20 June 1997</w:t>
      </w:r>
    </w:p>
    <w:p>
      <w:pPr>
        <w:pStyle w:val="BodyText"/>
        <w:spacing w:before="4"/>
        <w:rPr>
          <w:sz w:val="16"/>
        </w:rPr>
      </w:pPr>
    </w:p>
    <w:p>
      <w:pPr>
        <w:pStyle w:val="Heading3"/>
      </w:pPr>
      <w:r>
        <w:rPr/>
        <w:t>ATTACHMENT TO ACN No. 97/54</w:t>
      </w:r>
    </w:p>
    <w:p>
      <w:pPr>
        <w:pStyle w:val="BodyText"/>
        <w:spacing w:before="3"/>
        <w:rPr>
          <w:b/>
          <w:sz w:val="16"/>
        </w:rPr>
      </w:pPr>
    </w:p>
    <w:p>
      <w:pPr>
        <w:spacing w:before="0"/>
        <w:ind w:left="108" w:right="0" w:firstLine="0"/>
        <w:jc w:val="left"/>
        <w:rPr>
          <w:b/>
          <w:sz w:val="19"/>
        </w:rPr>
      </w:pPr>
      <w:r>
        <w:rPr>
          <w:b/>
          <w:sz w:val="19"/>
        </w:rPr>
        <w:t>List of CTCOs covering PMV parts and components, revoked on account of Customs Regulation 185 (1)</w:t>
      </w:r>
    </w:p>
    <w:p>
      <w:pPr>
        <w:pStyle w:val="BodyText"/>
        <w:spacing w:before="1"/>
        <w:rPr>
          <w:b/>
          <w:sz w:val="13"/>
        </w:rPr>
      </w:pPr>
      <w:r>
        <w:rPr/>
        <w:pict>
          <v:group style="position:absolute;margin-left:34.411362pt;margin-top:9.509233pt;width:779.6pt;height:68.6pt;mso-position-horizontal-relative:page;mso-position-vertical-relative:paragraph;z-index:-15726080;mso-wrap-distance-left:0;mso-wrap-distance-right:0" coordorigin="688,190" coordsize="15592,1372">
            <v:shape style="position:absolute;left:688;top:190;width:15592;height:1372" coordorigin="688,190" coordsize="15592,1372" path="m16280,190l5856,190,5843,190,688,190,688,204,5843,204,5843,799,688,799,688,812,5843,812,5843,1408,688,1408,688,1421,5843,1421,5843,1561,5856,1561,5856,1421,16280,1421,16280,1408,5856,1408,5856,812,16280,812,16280,799,5856,799,5856,204,16280,204,16280,190xe" filled="true" fillcolor="#c8c8c8" stroked="false">
              <v:path arrowok="t"/>
              <v:fill type="solid"/>
            </v:shape>
            <v:shapetype id="_x0000_t202" o:spt="202" coordsize="21600,21600" path="m,l,21600r21600,l21600,xe">
              <v:stroke joinstyle="miter"/>
              <v:path gradientshapeok="t" o:connecttype="rect"/>
            </v:shapetype>
            <v:shape style="position:absolute;left:782;top:302;width:1262;height:212" type="#_x0000_t202" filled="false" stroked="false">
              <v:textbox inset="0,0,0,0">
                <w:txbxContent>
                  <w:p>
                    <w:pPr>
                      <w:spacing w:line="212" w:lineRule="exact" w:before="0"/>
                      <w:ind w:left="0" w:right="0" w:firstLine="0"/>
                      <w:jc w:val="left"/>
                      <w:rPr>
                        <w:b/>
                        <w:sz w:val="19"/>
                      </w:rPr>
                    </w:pPr>
                    <w:r>
                      <w:rPr>
                        <w:b/>
                        <w:color w:val="202020"/>
                        <w:sz w:val="19"/>
                      </w:rPr>
                      <w:t>Former CTCO</w:t>
                    </w:r>
                  </w:p>
                </w:txbxContent>
              </v:textbox>
              <w10:wrap type="none"/>
            </v:shape>
            <v:shape style="position:absolute;left:5950;top:302;width:2725;height:212" type="#_x0000_t202" filled="false" stroked="false">
              <v:textbox inset="0,0,0,0">
                <w:txbxContent>
                  <w:p>
                    <w:pPr>
                      <w:spacing w:line="212" w:lineRule="exact" w:before="0"/>
                      <w:ind w:left="0" w:right="0" w:firstLine="0"/>
                      <w:jc w:val="left"/>
                      <w:rPr>
                        <w:b/>
                        <w:sz w:val="19"/>
                      </w:rPr>
                    </w:pPr>
                    <w:r>
                      <w:rPr>
                        <w:b/>
                        <w:color w:val="202020"/>
                        <w:sz w:val="19"/>
                      </w:rPr>
                      <w:t>Goods (brief description only)</w:t>
                    </w:r>
                  </w:p>
                </w:txbxContent>
              </v:textbox>
              <w10:wrap type="none"/>
            </v:shape>
            <v:shape style="position:absolute;left:782;top:911;width:84;height:212" type="#_x0000_t202" filled="false" stroked="false">
              <v:textbox inset="0,0,0,0">
                <w:txbxContent>
                  <w:p>
                    <w:pPr>
                      <w:spacing w:line="212" w:lineRule="exact" w:before="0"/>
                      <w:ind w:left="0" w:right="0" w:firstLine="0"/>
                      <w:jc w:val="left"/>
                      <w:rPr>
                        <w:b/>
                        <w:sz w:val="19"/>
                      </w:rPr>
                    </w:pPr>
                    <w:r>
                      <w:rPr>
                        <w:b/>
                        <w:color w:val="202020"/>
                        <w:w w:val="99"/>
                        <w:sz w:val="19"/>
                      </w:rPr>
                      <w:t>-</w:t>
                    </w:r>
                  </w:p>
                </w:txbxContent>
              </v:textbox>
              <w10:wrap type="none"/>
            </v:shape>
            <v:shape style="position:absolute;left:5950;top:911;width:84;height:212" type="#_x0000_t202" filled="false" stroked="false">
              <v:textbox inset="0,0,0,0">
                <w:txbxContent>
                  <w:p>
                    <w:pPr>
                      <w:spacing w:line="212" w:lineRule="exact" w:before="0"/>
                      <w:ind w:left="0" w:right="0" w:firstLine="0"/>
                      <w:jc w:val="left"/>
                      <w:rPr>
                        <w:b/>
                        <w:sz w:val="19"/>
                      </w:rPr>
                    </w:pPr>
                    <w:r>
                      <w:rPr>
                        <w:b/>
                        <w:color w:val="202020"/>
                        <w:w w:val="99"/>
                        <w:sz w:val="19"/>
                      </w:rPr>
                      <w:t>-</w:t>
                    </w:r>
                  </w:p>
                </w:txbxContent>
              </v:textbox>
              <w10:wrap type="none"/>
            </v:shape>
            <w10:wrap type="topAndBottom"/>
          </v:group>
        </w:pict>
      </w:r>
    </w:p>
    <w:p>
      <w:pPr>
        <w:spacing w:after="0"/>
        <w:rPr>
          <w:sz w:val="13"/>
        </w:rPr>
        <w:sectPr>
          <w:type w:val="continuous"/>
          <w:pgSz w:w="16840" w:h="11900" w:orient="landscape"/>
          <w:pgMar w:top="680" w:bottom="280" w:left="580" w:right="440"/>
        </w:sectPr>
      </w:pPr>
    </w:p>
    <w:tbl>
      <w:tblPr>
        <w:tblW w:w="0" w:type="auto"/>
        <w:jc w:val="left"/>
        <w:tblInd w:w="115"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161"/>
        <w:gridCol w:w="10431"/>
      </w:tblGrid>
      <w:tr>
        <w:trPr>
          <w:trHeight w:val="499" w:hRule="atLeast"/>
        </w:trPr>
        <w:tc>
          <w:tcPr>
            <w:tcW w:w="5161" w:type="dxa"/>
            <w:tcBorders>
              <w:top w:val="nil"/>
              <w:left w:val="nil"/>
            </w:tcBorders>
          </w:tcPr>
          <w:p>
            <w:pPr>
              <w:pStyle w:val="TableParagraph"/>
              <w:spacing w:before="4"/>
              <w:rPr>
                <w:sz w:val="19"/>
              </w:rPr>
            </w:pPr>
            <w:r>
              <w:rPr>
                <w:color w:val="202020"/>
                <w:sz w:val="19"/>
              </w:rPr>
              <w:t>9100855</w:t>
            </w:r>
          </w:p>
        </w:tc>
        <w:tc>
          <w:tcPr>
            <w:tcW w:w="10431" w:type="dxa"/>
            <w:tcBorders>
              <w:top w:val="nil"/>
              <w:right w:val="nil"/>
            </w:tcBorders>
          </w:tcPr>
          <w:p>
            <w:pPr>
              <w:pStyle w:val="TableParagraph"/>
              <w:spacing w:before="4"/>
              <w:rPr>
                <w:sz w:val="19"/>
              </w:rPr>
            </w:pPr>
            <w:r>
              <w:rPr>
                <w:color w:val="202020"/>
                <w:sz w:val="19"/>
              </w:rPr>
              <w:t>Receivers radio broadcast</w:t>
            </w:r>
          </w:p>
        </w:tc>
      </w:tr>
      <w:tr>
        <w:trPr>
          <w:trHeight w:val="593" w:hRule="atLeast"/>
        </w:trPr>
        <w:tc>
          <w:tcPr>
            <w:tcW w:w="5161" w:type="dxa"/>
            <w:tcBorders>
              <w:left w:val="nil"/>
            </w:tcBorders>
          </w:tcPr>
          <w:p>
            <w:pPr>
              <w:pStyle w:val="TableParagraph"/>
              <w:rPr>
                <w:sz w:val="19"/>
              </w:rPr>
            </w:pPr>
            <w:r>
              <w:rPr>
                <w:color w:val="202020"/>
                <w:sz w:val="19"/>
              </w:rPr>
              <w:t>8439972</w:t>
            </w:r>
          </w:p>
        </w:tc>
        <w:tc>
          <w:tcPr>
            <w:tcW w:w="10431" w:type="dxa"/>
            <w:tcBorders>
              <w:right w:val="nil"/>
            </w:tcBorders>
          </w:tcPr>
          <w:p>
            <w:pPr>
              <w:pStyle w:val="TableParagraph"/>
              <w:rPr>
                <w:sz w:val="19"/>
              </w:rPr>
            </w:pPr>
            <w:r>
              <w:rPr>
                <w:color w:val="202020"/>
                <w:sz w:val="19"/>
              </w:rPr>
              <w:t>Digital audio player</w:t>
            </w:r>
          </w:p>
        </w:tc>
      </w:tr>
      <w:tr>
        <w:trPr>
          <w:trHeight w:val="593" w:hRule="atLeast"/>
        </w:trPr>
        <w:tc>
          <w:tcPr>
            <w:tcW w:w="5161" w:type="dxa"/>
            <w:tcBorders>
              <w:left w:val="nil"/>
            </w:tcBorders>
          </w:tcPr>
          <w:p>
            <w:pPr>
              <w:pStyle w:val="TableParagraph"/>
              <w:rPr>
                <w:sz w:val="19"/>
              </w:rPr>
            </w:pPr>
            <w:r>
              <w:rPr>
                <w:color w:val="202020"/>
                <w:sz w:val="19"/>
              </w:rPr>
              <w:t>8532297</w:t>
            </w:r>
          </w:p>
        </w:tc>
        <w:tc>
          <w:tcPr>
            <w:tcW w:w="10431" w:type="dxa"/>
            <w:tcBorders>
              <w:right w:val="nil"/>
            </w:tcBorders>
          </w:tcPr>
          <w:p>
            <w:pPr>
              <w:pStyle w:val="TableParagraph"/>
              <w:rPr>
                <w:sz w:val="19"/>
              </w:rPr>
            </w:pPr>
            <w:r>
              <w:rPr>
                <w:color w:val="202020"/>
                <w:sz w:val="19"/>
              </w:rPr>
              <w:t>Injection equipment fuel</w:t>
            </w:r>
          </w:p>
        </w:tc>
      </w:tr>
      <w:tr>
        <w:trPr>
          <w:trHeight w:val="593" w:hRule="atLeast"/>
        </w:trPr>
        <w:tc>
          <w:tcPr>
            <w:tcW w:w="5161" w:type="dxa"/>
            <w:tcBorders>
              <w:left w:val="nil"/>
            </w:tcBorders>
          </w:tcPr>
          <w:p>
            <w:pPr>
              <w:pStyle w:val="TableParagraph"/>
              <w:rPr>
                <w:sz w:val="19"/>
              </w:rPr>
            </w:pPr>
            <w:r>
              <w:rPr>
                <w:color w:val="202020"/>
                <w:sz w:val="19"/>
              </w:rPr>
              <w:t>9100654</w:t>
            </w:r>
          </w:p>
        </w:tc>
        <w:tc>
          <w:tcPr>
            <w:tcW w:w="10431" w:type="dxa"/>
            <w:tcBorders>
              <w:right w:val="nil"/>
            </w:tcBorders>
          </w:tcPr>
          <w:p>
            <w:pPr>
              <w:pStyle w:val="TableParagraph"/>
              <w:rPr>
                <w:sz w:val="19"/>
              </w:rPr>
            </w:pPr>
            <w:r>
              <w:rPr>
                <w:color w:val="202020"/>
                <w:sz w:val="19"/>
              </w:rPr>
              <w:t>Shafts diesel engine</w:t>
            </w:r>
          </w:p>
        </w:tc>
      </w:tr>
      <w:tr>
        <w:trPr>
          <w:trHeight w:val="593" w:hRule="atLeast"/>
        </w:trPr>
        <w:tc>
          <w:tcPr>
            <w:tcW w:w="5161" w:type="dxa"/>
            <w:tcBorders>
              <w:left w:val="nil"/>
            </w:tcBorders>
          </w:tcPr>
          <w:p>
            <w:pPr>
              <w:pStyle w:val="TableParagraph"/>
              <w:rPr>
                <w:sz w:val="19"/>
              </w:rPr>
            </w:pPr>
            <w:r>
              <w:rPr>
                <w:color w:val="202020"/>
                <w:sz w:val="19"/>
              </w:rPr>
              <w:t>9006035</w:t>
            </w:r>
          </w:p>
        </w:tc>
        <w:tc>
          <w:tcPr>
            <w:tcW w:w="10431" w:type="dxa"/>
            <w:tcBorders>
              <w:right w:val="nil"/>
            </w:tcBorders>
          </w:tcPr>
          <w:p>
            <w:pPr>
              <w:pStyle w:val="TableParagraph"/>
              <w:rPr>
                <w:sz w:val="19"/>
              </w:rPr>
            </w:pPr>
            <w:r>
              <w:rPr>
                <w:color w:val="202020"/>
                <w:sz w:val="19"/>
              </w:rPr>
              <w:t>Followers camshaft rollers</w:t>
            </w:r>
          </w:p>
        </w:tc>
      </w:tr>
      <w:tr>
        <w:trPr>
          <w:trHeight w:val="593" w:hRule="atLeast"/>
        </w:trPr>
        <w:tc>
          <w:tcPr>
            <w:tcW w:w="5161" w:type="dxa"/>
            <w:tcBorders>
              <w:left w:val="nil"/>
            </w:tcBorders>
          </w:tcPr>
          <w:p>
            <w:pPr>
              <w:pStyle w:val="TableParagraph"/>
              <w:rPr>
                <w:sz w:val="19"/>
              </w:rPr>
            </w:pPr>
            <w:r>
              <w:rPr>
                <w:color w:val="202020"/>
                <w:sz w:val="19"/>
              </w:rPr>
              <w:t>8802465</w:t>
            </w:r>
          </w:p>
        </w:tc>
        <w:tc>
          <w:tcPr>
            <w:tcW w:w="10431" w:type="dxa"/>
            <w:tcBorders>
              <w:right w:val="nil"/>
            </w:tcBorders>
          </w:tcPr>
          <w:p>
            <w:pPr>
              <w:pStyle w:val="TableParagraph"/>
              <w:rPr>
                <w:sz w:val="19"/>
              </w:rPr>
            </w:pPr>
            <w:r>
              <w:rPr>
                <w:color w:val="202020"/>
                <w:sz w:val="19"/>
              </w:rPr>
              <w:t>Tapered roller bearing rollers</w:t>
            </w:r>
          </w:p>
        </w:tc>
      </w:tr>
      <w:tr>
        <w:trPr>
          <w:trHeight w:val="593" w:hRule="atLeast"/>
        </w:trPr>
        <w:tc>
          <w:tcPr>
            <w:tcW w:w="5161" w:type="dxa"/>
            <w:tcBorders>
              <w:left w:val="nil"/>
            </w:tcBorders>
          </w:tcPr>
          <w:p>
            <w:pPr>
              <w:pStyle w:val="TableParagraph"/>
              <w:rPr>
                <w:sz w:val="19"/>
              </w:rPr>
            </w:pPr>
            <w:r>
              <w:rPr>
                <w:color w:val="202020"/>
                <w:sz w:val="19"/>
              </w:rPr>
              <w:t>8732518</w:t>
            </w:r>
          </w:p>
        </w:tc>
        <w:tc>
          <w:tcPr>
            <w:tcW w:w="10431" w:type="dxa"/>
            <w:tcBorders>
              <w:right w:val="nil"/>
            </w:tcBorders>
          </w:tcPr>
          <w:p>
            <w:pPr>
              <w:pStyle w:val="TableParagraph"/>
              <w:rPr>
                <w:sz w:val="19"/>
              </w:rPr>
            </w:pPr>
            <w:r>
              <w:rPr>
                <w:color w:val="202020"/>
                <w:sz w:val="19"/>
              </w:rPr>
              <w:t>Converters AM to FM</w:t>
            </w:r>
          </w:p>
        </w:tc>
      </w:tr>
      <w:tr>
        <w:trPr>
          <w:trHeight w:val="593" w:hRule="atLeast"/>
        </w:trPr>
        <w:tc>
          <w:tcPr>
            <w:tcW w:w="5161" w:type="dxa"/>
            <w:tcBorders>
              <w:left w:val="nil"/>
            </w:tcBorders>
          </w:tcPr>
          <w:p>
            <w:pPr>
              <w:pStyle w:val="TableParagraph"/>
              <w:rPr>
                <w:sz w:val="19"/>
              </w:rPr>
            </w:pPr>
            <w:r>
              <w:rPr>
                <w:color w:val="202020"/>
                <w:sz w:val="19"/>
              </w:rPr>
              <w:t>8732523</w:t>
            </w:r>
          </w:p>
        </w:tc>
        <w:tc>
          <w:tcPr>
            <w:tcW w:w="10431" w:type="dxa"/>
            <w:tcBorders>
              <w:right w:val="nil"/>
            </w:tcBorders>
          </w:tcPr>
          <w:p>
            <w:pPr>
              <w:pStyle w:val="TableParagraph"/>
              <w:rPr>
                <w:sz w:val="19"/>
              </w:rPr>
            </w:pPr>
            <w:r>
              <w:rPr>
                <w:color w:val="202020"/>
                <w:sz w:val="19"/>
              </w:rPr>
              <w:t>Signal boosters</w:t>
            </w:r>
          </w:p>
        </w:tc>
      </w:tr>
      <w:tr>
        <w:trPr>
          <w:trHeight w:val="593" w:hRule="atLeast"/>
        </w:trPr>
        <w:tc>
          <w:tcPr>
            <w:tcW w:w="5161" w:type="dxa"/>
            <w:tcBorders>
              <w:left w:val="nil"/>
            </w:tcBorders>
          </w:tcPr>
          <w:p>
            <w:pPr>
              <w:pStyle w:val="TableParagraph"/>
              <w:rPr>
                <w:sz w:val="19"/>
              </w:rPr>
            </w:pPr>
            <w:r>
              <w:rPr>
                <w:color w:val="202020"/>
                <w:sz w:val="19"/>
              </w:rPr>
              <w:t>9100854</w:t>
            </w:r>
          </w:p>
        </w:tc>
        <w:tc>
          <w:tcPr>
            <w:tcW w:w="10431" w:type="dxa"/>
            <w:tcBorders>
              <w:right w:val="nil"/>
            </w:tcBorders>
          </w:tcPr>
          <w:p>
            <w:pPr>
              <w:pStyle w:val="TableParagraph"/>
              <w:rPr>
                <w:sz w:val="19"/>
              </w:rPr>
            </w:pPr>
            <w:r>
              <w:rPr>
                <w:color w:val="202020"/>
                <w:sz w:val="19"/>
              </w:rPr>
              <w:t>Receivers radio broadcast</w:t>
            </w:r>
          </w:p>
        </w:tc>
      </w:tr>
      <w:tr>
        <w:trPr>
          <w:trHeight w:val="593" w:hRule="atLeast"/>
        </w:trPr>
        <w:tc>
          <w:tcPr>
            <w:tcW w:w="5161" w:type="dxa"/>
            <w:tcBorders>
              <w:left w:val="nil"/>
            </w:tcBorders>
          </w:tcPr>
          <w:p>
            <w:pPr>
              <w:pStyle w:val="TableParagraph"/>
              <w:rPr>
                <w:sz w:val="19"/>
              </w:rPr>
            </w:pPr>
            <w:r>
              <w:rPr>
                <w:color w:val="202020"/>
                <w:sz w:val="19"/>
              </w:rPr>
              <w:t>9008110</w:t>
            </w:r>
          </w:p>
        </w:tc>
        <w:tc>
          <w:tcPr>
            <w:tcW w:w="10431" w:type="dxa"/>
            <w:tcBorders>
              <w:right w:val="nil"/>
            </w:tcBorders>
          </w:tcPr>
          <w:p>
            <w:pPr>
              <w:pStyle w:val="TableParagraph"/>
              <w:rPr>
                <w:sz w:val="19"/>
              </w:rPr>
            </w:pPr>
            <w:r>
              <w:rPr>
                <w:color w:val="202020"/>
                <w:sz w:val="19"/>
              </w:rPr>
              <w:t>Tuners or tuner-amplifiers</w:t>
            </w:r>
          </w:p>
        </w:tc>
      </w:tr>
      <w:tr>
        <w:trPr>
          <w:trHeight w:val="593" w:hRule="atLeast"/>
        </w:trPr>
        <w:tc>
          <w:tcPr>
            <w:tcW w:w="5161" w:type="dxa"/>
            <w:tcBorders>
              <w:left w:val="nil"/>
            </w:tcBorders>
          </w:tcPr>
          <w:p>
            <w:pPr>
              <w:pStyle w:val="TableParagraph"/>
              <w:rPr>
                <w:sz w:val="19"/>
              </w:rPr>
            </w:pPr>
            <w:r>
              <w:rPr>
                <w:color w:val="202020"/>
                <w:sz w:val="19"/>
              </w:rPr>
              <w:t>9601774</w:t>
            </w:r>
          </w:p>
        </w:tc>
        <w:tc>
          <w:tcPr>
            <w:tcW w:w="10431" w:type="dxa"/>
            <w:tcBorders>
              <w:right w:val="nil"/>
            </w:tcBorders>
          </w:tcPr>
          <w:p>
            <w:pPr>
              <w:pStyle w:val="TableParagraph"/>
              <w:rPr>
                <w:sz w:val="19"/>
              </w:rPr>
            </w:pPr>
            <w:r>
              <w:rPr>
                <w:color w:val="202020"/>
                <w:sz w:val="19"/>
              </w:rPr>
              <w:t>Reproducers audio</w:t>
            </w:r>
          </w:p>
        </w:tc>
      </w:tr>
      <w:tr>
        <w:trPr>
          <w:trHeight w:val="593" w:hRule="atLeast"/>
        </w:trPr>
        <w:tc>
          <w:tcPr>
            <w:tcW w:w="5161" w:type="dxa"/>
            <w:tcBorders>
              <w:left w:val="nil"/>
            </w:tcBorders>
          </w:tcPr>
          <w:p>
            <w:pPr>
              <w:pStyle w:val="TableParagraph"/>
              <w:rPr>
                <w:sz w:val="19"/>
              </w:rPr>
            </w:pPr>
            <w:r>
              <w:rPr>
                <w:color w:val="202020"/>
                <w:sz w:val="19"/>
              </w:rPr>
              <w:t>9607766</w:t>
            </w:r>
          </w:p>
        </w:tc>
        <w:tc>
          <w:tcPr>
            <w:tcW w:w="10431" w:type="dxa"/>
            <w:tcBorders>
              <w:right w:val="nil"/>
            </w:tcBorders>
          </w:tcPr>
          <w:p>
            <w:pPr>
              <w:pStyle w:val="TableParagraph"/>
              <w:rPr>
                <w:sz w:val="19"/>
              </w:rPr>
            </w:pPr>
            <w:r>
              <w:rPr>
                <w:color w:val="202020"/>
                <w:sz w:val="19"/>
              </w:rPr>
              <w:t>Sound reproducers</w:t>
            </w:r>
          </w:p>
        </w:tc>
      </w:tr>
      <w:tr>
        <w:trPr>
          <w:trHeight w:val="593" w:hRule="atLeast"/>
        </w:trPr>
        <w:tc>
          <w:tcPr>
            <w:tcW w:w="5161" w:type="dxa"/>
            <w:tcBorders>
              <w:left w:val="nil"/>
            </w:tcBorders>
          </w:tcPr>
          <w:p>
            <w:pPr>
              <w:pStyle w:val="TableParagraph"/>
              <w:rPr>
                <w:sz w:val="19"/>
              </w:rPr>
            </w:pPr>
            <w:r>
              <w:rPr>
                <w:color w:val="202020"/>
                <w:sz w:val="19"/>
              </w:rPr>
              <w:t>9607686</w:t>
            </w:r>
          </w:p>
        </w:tc>
        <w:tc>
          <w:tcPr>
            <w:tcW w:w="10431" w:type="dxa"/>
            <w:tcBorders>
              <w:right w:val="nil"/>
            </w:tcBorders>
          </w:tcPr>
          <w:p>
            <w:pPr>
              <w:pStyle w:val="TableParagraph"/>
              <w:rPr>
                <w:sz w:val="19"/>
              </w:rPr>
            </w:pPr>
            <w:r>
              <w:rPr>
                <w:color w:val="202020"/>
                <w:sz w:val="19"/>
              </w:rPr>
              <w:t>Reproducers audio</w:t>
            </w:r>
          </w:p>
        </w:tc>
      </w:tr>
      <w:tr>
        <w:trPr>
          <w:trHeight w:val="593" w:hRule="atLeast"/>
        </w:trPr>
        <w:tc>
          <w:tcPr>
            <w:tcW w:w="5161" w:type="dxa"/>
            <w:tcBorders>
              <w:left w:val="nil"/>
            </w:tcBorders>
          </w:tcPr>
          <w:p>
            <w:pPr>
              <w:pStyle w:val="TableParagraph"/>
              <w:rPr>
                <w:sz w:val="19"/>
              </w:rPr>
            </w:pPr>
            <w:r>
              <w:rPr>
                <w:color w:val="202020"/>
                <w:sz w:val="19"/>
              </w:rPr>
              <w:t>8802502</w:t>
            </w:r>
          </w:p>
        </w:tc>
        <w:tc>
          <w:tcPr>
            <w:tcW w:w="10431" w:type="dxa"/>
            <w:tcBorders>
              <w:right w:val="nil"/>
            </w:tcBorders>
          </w:tcPr>
          <w:p>
            <w:pPr>
              <w:pStyle w:val="TableParagraph"/>
              <w:rPr>
                <w:sz w:val="19"/>
              </w:rPr>
            </w:pPr>
            <w:r>
              <w:rPr>
                <w:color w:val="202020"/>
                <w:sz w:val="19"/>
              </w:rPr>
              <w:t>Bearings thrust</w:t>
            </w:r>
          </w:p>
        </w:tc>
      </w:tr>
      <w:tr>
        <w:trPr>
          <w:trHeight w:val="593" w:hRule="atLeast"/>
        </w:trPr>
        <w:tc>
          <w:tcPr>
            <w:tcW w:w="5161" w:type="dxa"/>
            <w:tcBorders>
              <w:left w:val="nil"/>
            </w:tcBorders>
          </w:tcPr>
          <w:p>
            <w:pPr>
              <w:pStyle w:val="TableParagraph"/>
              <w:rPr>
                <w:sz w:val="19"/>
              </w:rPr>
            </w:pPr>
            <w:r>
              <w:rPr>
                <w:color w:val="202020"/>
                <w:sz w:val="19"/>
              </w:rPr>
              <w:t>8802463</w:t>
            </w:r>
          </w:p>
        </w:tc>
        <w:tc>
          <w:tcPr>
            <w:tcW w:w="10431" w:type="dxa"/>
            <w:tcBorders>
              <w:right w:val="nil"/>
            </w:tcBorders>
          </w:tcPr>
          <w:p>
            <w:pPr>
              <w:pStyle w:val="TableParagraph"/>
              <w:rPr>
                <w:sz w:val="19"/>
              </w:rPr>
            </w:pPr>
            <w:r>
              <w:rPr>
                <w:color w:val="202020"/>
                <w:sz w:val="19"/>
              </w:rPr>
              <w:t>Tapered roller bearing parts</w:t>
            </w:r>
          </w:p>
        </w:tc>
      </w:tr>
      <w:tr>
        <w:trPr>
          <w:trHeight w:val="593" w:hRule="atLeast"/>
        </w:trPr>
        <w:tc>
          <w:tcPr>
            <w:tcW w:w="5161" w:type="dxa"/>
            <w:tcBorders>
              <w:left w:val="nil"/>
            </w:tcBorders>
          </w:tcPr>
          <w:p>
            <w:pPr>
              <w:pStyle w:val="TableParagraph"/>
              <w:rPr>
                <w:sz w:val="19"/>
              </w:rPr>
            </w:pPr>
            <w:r>
              <w:rPr>
                <w:color w:val="202020"/>
                <w:sz w:val="19"/>
              </w:rPr>
              <w:t>9606813</w:t>
            </w:r>
          </w:p>
        </w:tc>
        <w:tc>
          <w:tcPr>
            <w:tcW w:w="10431" w:type="dxa"/>
            <w:tcBorders>
              <w:right w:val="nil"/>
            </w:tcBorders>
          </w:tcPr>
          <w:p>
            <w:pPr>
              <w:pStyle w:val="TableParagraph"/>
              <w:rPr>
                <w:sz w:val="19"/>
              </w:rPr>
            </w:pPr>
            <w:r>
              <w:rPr>
                <w:color w:val="202020"/>
                <w:sz w:val="19"/>
              </w:rPr>
              <w:t>Belts transmission</w:t>
            </w:r>
          </w:p>
        </w:tc>
      </w:tr>
      <w:tr>
        <w:trPr>
          <w:trHeight w:val="593" w:hRule="atLeast"/>
        </w:trPr>
        <w:tc>
          <w:tcPr>
            <w:tcW w:w="5161" w:type="dxa"/>
            <w:tcBorders>
              <w:left w:val="nil"/>
            </w:tcBorders>
          </w:tcPr>
          <w:p>
            <w:pPr>
              <w:pStyle w:val="TableParagraph"/>
              <w:rPr>
                <w:sz w:val="19"/>
              </w:rPr>
            </w:pPr>
            <w:r>
              <w:rPr>
                <w:color w:val="202020"/>
                <w:sz w:val="19"/>
              </w:rPr>
              <w:t>9606820</w:t>
            </w:r>
          </w:p>
        </w:tc>
        <w:tc>
          <w:tcPr>
            <w:tcW w:w="10431" w:type="dxa"/>
            <w:tcBorders>
              <w:right w:val="nil"/>
            </w:tcBorders>
          </w:tcPr>
          <w:p>
            <w:pPr>
              <w:pStyle w:val="TableParagraph"/>
              <w:rPr>
                <w:sz w:val="19"/>
              </w:rPr>
            </w:pPr>
            <w:r>
              <w:rPr>
                <w:color w:val="202020"/>
                <w:sz w:val="19"/>
              </w:rPr>
              <w:t>Belts transmission</w:t>
            </w:r>
          </w:p>
        </w:tc>
      </w:tr>
      <w:tr>
        <w:trPr>
          <w:trHeight w:val="504" w:hRule="atLeast"/>
        </w:trPr>
        <w:tc>
          <w:tcPr>
            <w:tcW w:w="5161" w:type="dxa"/>
            <w:tcBorders>
              <w:left w:val="nil"/>
              <w:bottom w:val="nil"/>
            </w:tcBorders>
          </w:tcPr>
          <w:p>
            <w:pPr>
              <w:pStyle w:val="TableParagraph"/>
              <w:rPr>
                <w:sz w:val="19"/>
              </w:rPr>
            </w:pPr>
            <w:r>
              <w:rPr>
                <w:color w:val="202020"/>
                <w:sz w:val="19"/>
              </w:rPr>
              <w:t>9606818</w:t>
            </w:r>
          </w:p>
        </w:tc>
        <w:tc>
          <w:tcPr>
            <w:tcW w:w="10431" w:type="dxa"/>
            <w:tcBorders>
              <w:bottom w:val="nil"/>
              <w:right w:val="nil"/>
            </w:tcBorders>
          </w:tcPr>
          <w:p>
            <w:pPr>
              <w:pStyle w:val="TableParagraph"/>
              <w:rPr>
                <w:sz w:val="19"/>
              </w:rPr>
            </w:pPr>
            <w:r>
              <w:rPr>
                <w:color w:val="202020"/>
                <w:sz w:val="19"/>
              </w:rPr>
              <w:t>Belts transmission</w:t>
            </w:r>
          </w:p>
        </w:tc>
      </w:tr>
    </w:tbl>
    <w:p>
      <w:pPr>
        <w:spacing w:after="0"/>
        <w:rPr>
          <w:sz w:val="19"/>
        </w:rPr>
        <w:sectPr>
          <w:pgSz w:w="16840" w:h="11900" w:orient="landscape"/>
          <w:pgMar w:top="580" w:bottom="280" w:left="580" w:right="440"/>
        </w:sectPr>
      </w:pPr>
    </w:p>
    <w:tbl>
      <w:tblPr>
        <w:tblW w:w="0" w:type="auto"/>
        <w:jc w:val="left"/>
        <w:tblInd w:w="115"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161"/>
        <w:gridCol w:w="10431"/>
      </w:tblGrid>
      <w:tr>
        <w:trPr>
          <w:trHeight w:val="593" w:hRule="atLeast"/>
        </w:trPr>
        <w:tc>
          <w:tcPr>
            <w:tcW w:w="5161" w:type="dxa"/>
            <w:tcBorders>
              <w:left w:val="nil"/>
            </w:tcBorders>
          </w:tcPr>
          <w:p>
            <w:pPr>
              <w:pStyle w:val="TableParagraph"/>
              <w:rPr>
                <w:sz w:val="19"/>
              </w:rPr>
            </w:pPr>
            <w:r>
              <w:rPr>
                <w:color w:val="202020"/>
                <w:sz w:val="19"/>
              </w:rPr>
              <w:t>9606868</w:t>
            </w:r>
          </w:p>
        </w:tc>
        <w:tc>
          <w:tcPr>
            <w:tcW w:w="10431" w:type="dxa"/>
            <w:tcBorders>
              <w:right w:val="nil"/>
            </w:tcBorders>
          </w:tcPr>
          <w:p>
            <w:pPr>
              <w:pStyle w:val="TableParagraph"/>
              <w:rPr>
                <w:sz w:val="19"/>
              </w:rPr>
            </w:pPr>
            <w:r>
              <w:rPr>
                <w:color w:val="202020"/>
                <w:sz w:val="19"/>
              </w:rPr>
              <w:t>Belts transmission</w:t>
            </w:r>
          </w:p>
        </w:tc>
      </w:tr>
      <w:tr>
        <w:trPr>
          <w:trHeight w:val="593" w:hRule="atLeast"/>
        </w:trPr>
        <w:tc>
          <w:tcPr>
            <w:tcW w:w="5161" w:type="dxa"/>
            <w:tcBorders>
              <w:left w:val="nil"/>
            </w:tcBorders>
          </w:tcPr>
          <w:p>
            <w:pPr>
              <w:pStyle w:val="TableParagraph"/>
              <w:rPr>
                <w:sz w:val="19"/>
              </w:rPr>
            </w:pPr>
            <w:r>
              <w:rPr>
                <w:color w:val="202020"/>
                <w:sz w:val="19"/>
              </w:rPr>
              <w:t>9606869</w:t>
            </w:r>
          </w:p>
        </w:tc>
        <w:tc>
          <w:tcPr>
            <w:tcW w:w="10431" w:type="dxa"/>
            <w:tcBorders>
              <w:right w:val="nil"/>
            </w:tcBorders>
          </w:tcPr>
          <w:p>
            <w:pPr>
              <w:pStyle w:val="TableParagraph"/>
              <w:rPr>
                <w:sz w:val="19"/>
              </w:rPr>
            </w:pPr>
            <w:r>
              <w:rPr>
                <w:color w:val="202020"/>
                <w:sz w:val="19"/>
              </w:rPr>
              <w:t>Belts transmission</w:t>
            </w:r>
          </w:p>
        </w:tc>
      </w:tr>
      <w:tr>
        <w:trPr>
          <w:trHeight w:val="593" w:hRule="atLeast"/>
        </w:trPr>
        <w:tc>
          <w:tcPr>
            <w:tcW w:w="5161" w:type="dxa"/>
            <w:tcBorders>
              <w:left w:val="nil"/>
            </w:tcBorders>
          </w:tcPr>
          <w:p>
            <w:pPr>
              <w:pStyle w:val="TableParagraph"/>
              <w:rPr>
                <w:sz w:val="19"/>
              </w:rPr>
            </w:pPr>
            <w:r>
              <w:rPr>
                <w:color w:val="202020"/>
                <w:sz w:val="19"/>
              </w:rPr>
              <w:t>9606870</w:t>
            </w:r>
          </w:p>
        </w:tc>
        <w:tc>
          <w:tcPr>
            <w:tcW w:w="10431" w:type="dxa"/>
            <w:tcBorders>
              <w:right w:val="nil"/>
            </w:tcBorders>
          </w:tcPr>
          <w:p>
            <w:pPr>
              <w:pStyle w:val="TableParagraph"/>
              <w:rPr>
                <w:sz w:val="19"/>
              </w:rPr>
            </w:pPr>
            <w:r>
              <w:rPr>
                <w:color w:val="202020"/>
                <w:sz w:val="19"/>
              </w:rPr>
              <w:t>Belts Transmission</w:t>
            </w:r>
          </w:p>
        </w:tc>
      </w:tr>
      <w:tr>
        <w:trPr>
          <w:trHeight w:val="593" w:hRule="atLeast"/>
        </w:trPr>
        <w:tc>
          <w:tcPr>
            <w:tcW w:w="5161" w:type="dxa"/>
            <w:tcBorders>
              <w:left w:val="nil"/>
            </w:tcBorders>
          </w:tcPr>
          <w:p>
            <w:pPr>
              <w:pStyle w:val="TableParagraph"/>
              <w:rPr>
                <w:sz w:val="19"/>
              </w:rPr>
            </w:pPr>
            <w:r>
              <w:rPr>
                <w:color w:val="202020"/>
                <w:sz w:val="19"/>
              </w:rPr>
              <w:t>9606854</w:t>
            </w:r>
          </w:p>
        </w:tc>
        <w:tc>
          <w:tcPr>
            <w:tcW w:w="10431" w:type="dxa"/>
            <w:tcBorders>
              <w:right w:val="nil"/>
            </w:tcBorders>
          </w:tcPr>
          <w:p>
            <w:pPr>
              <w:pStyle w:val="TableParagraph"/>
              <w:rPr>
                <w:sz w:val="19"/>
              </w:rPr>
            </w:pPr>
            <w:r>
              <w:rPr>
                <w:color w:val="202020"/>
                <w:sz w:val="19"/>
              </w:rPr>
              <w:t>Belts or belting</w:t>
            </w:r>
          </w:p>
        </w:tc>
      </w:tr>
      <w:tr>
        <w:trPr>
          <w:trHeight w:val="593" w:hRule="atLeast"/>
        </w:trPr>
        <w:tc>
          <w:tcPr>
            <w:tcW w:w="5161" w:type="dxa"/>
            <w:tcBorders>
              <w:left w:val="nil"/>
            </w:tcBorders>
          </w:tcPr>
          <w:p>
            <w:pPr>
              <w:pStyle w:val="TableParagraph"/>
              <w:rPr>
                <w:sz w:val="19"/>
              </w:rPr>
            </w:pPr>
            <w:r>
              <w:rPr>
                <w:color w:val="202020"/>
                <w:sz w:val="19"/>
              </w:rPr>
              <w:t>9606878</w:t>
            </w:r>
          </w:p>
        </w:tc>
        <w:tc>
          <w:tcPr>
            <w:tcW w:w="10431" w:type="dxa"/>
            <w:tcBorders>
              <w:right w:val="nil"/>
            </w:tcBorders>
          </w:tcPr>
          <w:p>
            <w:pPr>
              <w:pStyle w:val="TableParagraph"/>
              <w:rPr>
                <w:sz w:val="19"/>
              </w:rPr>
            </w:pPr>
            <w:r>
              <w:rPr>
                <w:color w:val="202020"/>
                <w:sz w:val="19"/>
              </w:rPr>
              <w:t>Belts or belting</w:t>
            </w:r>
          </w:p>
        </w:tc>
      </w:tr>
      <w:tr>
        <w:trPr>
          <w:trHeight w:val="593" w:hRule="atLeast"/>
        </w:trPr>
        <w:tc>
          <w:tcPr>
            <w:tcW w:w="5161" w:type="dxa"/>
            <w:tcBorders>
              <w:left w:val="nil"/>
            </w:tcBorders>
          </w:tcPr>
          <w:p>
            <w:pPr>
              <w:pStyle w:val="TableParagraph"/>
              <w:rPr>
                <w:sz w:val="19"/>
              </w:rPr>
            </w:pPr>
            <w:r>
              <w:rPr>
                <w:color w:val="202020"/>
                <w:sz w:val="19"/>
              </w:rPr>
              <w:t>9001518</w:t>
            </w:r>
          </w:p>
        </w:tc>
        <w:tc>
          <w:tcPr>
            <w:tcW w:w="10431" w:type="dxa"/>
            <w:tcBorders>
              <w:right w:val="nil"/>
            </w:tcBorders>
          </w:tcPr>
          <w:p>
            <w:pPr>
              <w:pStyle w:val="TableParagraph"/>
              <w:rPr>
                <w:sz w:val="19"/>
              </w:rPr>
            </w:pPr>
            <w:r>
              <w:rPr>
                <w:color w:val="202020"/>
                <w:sz w:val="19"/>
              </w:rPr>
              <w:t>Pumps</w:t>
            </w:r>
          </w:p>
        </w:tc>
      </w:tr>
      <w:tr>
        <w:trPr>
          <w:trHeight w:val="593" w:hRule="atLeast"/>
        </w:trPr>
        <w:tc>
          <w:tcPr>
            <w:tcW w:w="5161" w:type="dxa"/>
            <w:tcBorders>
              <w:left w:val="nil"/>
            </w:tcBorders>
          </w:tcPr>
          <w:p>
            <w:pPr>
              <w:pStyle w:val="TableParagraph"/>
              <w:rPr>
                <w:sz w:val="19"/>
              </w:rPr>
            </w:pPr>
            <w:r>
              <w:rPr>
                <w:color w:val="202020"/>
                <w:sz w:val="19"/>
              </w:rPr>
              <w:t>9102531</w:t>
            </w:r>
          </w:p>
        </w:tc>
        <w:tc>
          <w:tcPr>
            <w:tcW w:w="10431" w:type="dxa"/>
            <w:tcBorders>
              <w:right w:val="nil"/>
            </w:tcBorders>
          </w:tcPr>
          <w:p>
            <w:pPr>
              <w:pStyle w:val="TableParagraph"/>
              <w:rPr>
                <w:sz w:val="19"/>
              </w:rPr>
            </w:pPr>
            <w:r>
              <w:rPr>
                <w:color w:val="202020"/>
                <w:sz w:val="19"/>
              </w:rPr>
              <w:t>Fuel pumps</w:t>
            </w:r>
          </w:p>
        </w:tc>
      </w:tr>
      <w:tr>
        <w:trPr>
          <w:trHeight w:val="593" w:hRule="atLeast"/>
        </w:trPr>
        <w:tc>
          <w:tcPr>
            <w:tcW w:w="5161" w:type="dxa"/>
            <w:tcBorders>
              <w:left w:val="nil"/>
            </w:tcBorders>
          </w:tcPr>
          <w:p>
            <w:pPr>
              <w:pStyle w:val="TableParagraph"/>
              <w:rPr>
                <w:sz w:val="19"/>
              </w:rPr>
            </w:pPr>
            <w:r>
              <w:rPr>
                <w:color w:val="202020"/>
                <w:sz w:val="19"/>
              </w:rPr>
              <w:t>9005413</w:t>
            </w:r>
          </w:p>
        </w:tc>
        <w:tc>
          <w:tcPr>
            <w:tcW w:w="10431" w:type="dxa"/>
            <w:tcBorders>
              <w:right w:val="nil"/>
            </w:tcBorders>
          </w:tcPr>
          <w:p>
            <w:pPr>
              <w:pStyle w:val="TableParagraph"/>
              <w:rPr>
                <w:sz w:val="19"/>
              </w:rPr>
            </w:pPr>
            <w:r>
              <w:rPr>
                <w:color w:val="202020"/>
                <w:sz w:val="19"/>
              </w:rPr>
              <w:t>Bearings ball</w:t>
            </w:r>
          </w:p>
        </w:tc>
      </w:tr>
      <w:tr>
        <w:trPr>
          <w:trHeight w:val="593" w:hRule="atLeast"/>
        </w:trPr>
        <w:tc>
          <w:tcPr>
            <w:tcW w:w="5161" w:type="dxa"/>
            <w:tcBorders>
              <w:left w:val="nil"/>
            </w:tcBorders>
          </w:tcPr>
          <w:p>
            <w:pPr>
              <w:pStyle w:val="TableParagraph"/>
              <w:rPr>
                <w:sz w:val="19"/>
              </w:rPr>
            </w:pPr>
            <w:r>
              <w:rPr>
                <w:color w:val="202020"/>
                <w:sz w:val="19"/>
              </w:rPr>
              <w:t>9508058</w:t>
            </w:r>
          </w:p>
        </w:tc>
        <w:tc>
          <w:tcPr>
            <w:tcW w:w="10431" w:type="dxa"/>
            <w:tcBorders>
              <w:right w:val="nil"/>
            </w:tcBorders>
          </w:tcPr>
          <w:p>
            <w:pPr>
              <w:pStyle w:val="TableParagraph"/>
              <w:rPr>
                <w:sz w:val="19"/>
              </w:rPr>
            </w:pPr>
            <w:r>
              <w:rPr>
                <w:color w:val="202020"/>
                <w:sz w:val="19"/>
              </w:rPr>
              <w:t>Bearings tapered roller</w:t>
            </w:r>
          </w:p>
        </w:tc>
      </w:tr>
    </w:tbl>
    <w:sectPr>
      <w:pgSz w:w="16840" w:h="11900" w:orient="landscape"/>
      <w:pgMar w:top="64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923" w:hanging="356"/>
        <w:jc w:val="right"/>
      </w:pPr>
      <w:rPr>
        <w:rFonts w:hint="default" w:ascii="Georgia" w:hAnsi="Georgia" w:eastAsia="Georgia" w:cs="Georgia"/>
        <w:i/>
        <w:color w:val="585858"/>
        <w:w w:val="103"/>
        <w:sz w:val="22"/>
        <w:szCs w:val="22"/>
      </w:rPr>
    </w:lvl>
    <w:lvl w:ilvl="1">
      <w:start w:val="0"/>
      <w:numFmt w:val="bullet"/>
      <w:lvlText w:val="•"/>
      <w:lvlJc w:val="left"/>
      <w:pPr>
        <w:ind w:left="2410" w:hanging="356"/>
      </w:pPr>
      <w:rPr>
        <w:rFonts w:hint="default"/>
      </w:rPr>
    </w:lvl>
    <w:lvl w:ilvl="2">
      <w:start w:val="0"/>
      <w:numFmt w:val="bullet"/>
      <w:lvlText w:val="•"/>
      <w:lvlJc w:val="left"/>
      <w:pPr>
        <w:ind w:left="3900" w:hanging="356"/>
      </w:pPr>
      <w:rPr>
        <w:rFonts w:hint="default"/>
      </w:rPr>
    </w:lvl>
    <w:lvl w:ilvl="3">
      <w:start w:val="0"/>
      <w:numFmt w:val="bullet"/>
      <w:lvlText w:val="•"/>
      <w:lvlJc w:val="left"/>
      <w:pPr>
        <w:ind w:left="5390" w:hanging="356"/>
      </w:pPr>
      <w:rPr>
        <w:rFonts w:hint="default"/>
      </w:rPr>
    </w:lvl>
    <w:lvl w:ilvl="4">
      <w:start w:val="0"/>
      <w:numFmt w:val="bullet"/>
      <w:lvlText w:val="•"/>
      <w:lvlJc w:val="left"/>
      <w:pPr>
        <w:ind w:left="6880" w:hanging="356"/>
      </w:pPr>
      <w:rPr>
        <w:rFonts w:hint="default"/>
      </w:rPr>
    </w:lvl>
    <w:lvl w:ilvl="5">
      <w:start w:val="0"/>
      <w:numFmt w:val="bullet"/>
      <w:lvlText w:val="•"/>
      <w:lvlJc w:val="left"/>
      <w:pPr>
        <w:ind w:left="8370" w:hanging="356"/>
      </w:pPr>
      <w:rPr>
        <w:rFonts w:hint="default"/>
      </w:rPr>
    </w:lvl>
    <w:lvl w:ilvl="6">
      <w:start w:val="0"/>
      <w:numFmt w:val="bullet"/>
      <w:lvlText w:val="•"/>
      <w:lvlJc w:val="left"/>
      <w:pPr>
        <w:ind w:left="9860" w:hanging="356"/>
      </w:pPr>
      <w:rPr>
        <w:rFonts w:hint="default"/>
      </w:rPr>
    </w:lvl>
    <w:lvl w:ilvl="7">
      <w:start w:val="0"/>
      <w:numFmt w:val="bullet"/>
      <w:lvlText w:val="•"/>
      <w:lvlJc w:val="left"/>
      <w:pPr>
        <w:ind w:left="11350" w:hanging="356"/>
      </w:pPr>
      <w:rPr>
        <w:rFonts w:hint="default"/>
      </w:rPr>
    </w:lvl>
    <w:lvl w:ilvl="8">
      <w:start w:val="0"/>
      <w:numFmt w:val="bullet"/>
      <w:lvlText w:val="•"/>
      <w:lvlJc w:val="left"/>
      <w:pPr>
        <w:ind w:left="12840" w:hanging="356"/>
      </w:pPr>
      <w:rPr>
        <w:rFonts w:hint="default"/>
      </w:rPr>
    </w:lvl>
  </w:abstractNum>
  <w:abstractNum w:abstractNumId="0">
    <w:multiLevelType w:val="hybridMultilevel"/>
    <w:lvl w:ilvl="0">
      <w:start w:val="1"/>
      <w:numFmt w:val="lowerRoman"/>
      <w:lvlText w:val="(%1)"/>
      <w:lvlJc w:val="left"/>
      <w:pPr>
        <w:ind w:left="1108" w:hanging="352"/>
        <w:jc w:val="left"/>
      </w:pPr>
      <w:rPr>
        <w:rFonts w:hint="default" w:ascii="Georgia" w:hAnsi="Georgia" w:eastAsia="Georgia" w:cs="Georgia"/>
        <w:i/>
        <w:color w:val="585858"/>
        <w:w w:val="101"/>
        <w:sz w:val="27"/>
        <w:szCs w:val="27"/>
      </w:rPr>
    </w:lvl>
    <w:lvl w:ilvl="1">
      <w:start w:val="0"/>
      <w:numFmt w:val="bullet"/>
      <w:lvlText w:val="•"/>
      <w:lvlJc w:val="left"/>
      <w:pPr>
        <w:ind w:left="2572" w:hanging="352"/>
      </w:pPr>
      <w:rPr>
        <w:rFonts w:hint="default"/>
      </w:rPr>
    </w:lvl>
    <w:lvl w:ilvl="2">
      <w:start w:val="0"/>
      <w:numFmt w:val="bullet"/>
      <w:lvlText w:val="•"/>
      <w:lvlJc w:val="left"/>
      <w:pPr>
        <w:ind w:left="4044" w:hanging="352"/>
      </w:pPr>
      <w:rPr>
        <w:rFonts w:hint="default"/>
      </w:rPr>
    </w:lvl>
    <w:lvl w:ilvl="3">
      <w:start w:val="0"/>
      <w:numFmt w:val="bullet"/>
      <w:lvlText w:val="•"/>
      <w:lvlJc w:val="left"/>
      <w:pPr>
        <w:ind w:left="5516" w:hanging="352"/>
      </w:pPr>
      <w:rPr>
        <w:rFonts w:hint="default"/>
      </w:rPr>
    </w:lvl>
    <w:lvl w:ilvl="4">
      <w:start w:val="0"/>
      <w:numFmt w:val="bullet"/>
      <w:lvlText w:val="•"/>
      <w:lvlJc w:val="left"/>
      <w:pPr>
        <w:ind w:left="6988" w:hanging="352"/>
      </w:pPr>
      <w:rPr>
        <w:rFonts w:hint="default"/>
      </w:rPr>
    </w:lvl>
    <w:lvl w:ilvl="5">
      <w:start w:val="0"/>
      <w:numFmt w:val="bullet"/>
      <w:lvlText w:val="•"/>
      <w:lvlJc w:val="left"/>
      <w:pPr>
        <w:ind w:left="8460" w:hanging="352"/>
      </w:pPr>
      <w:rPr>
        <w:rFonts w:hint="default"/>
      </w:rPr>
    </w:lvl>
    <w:lvl w:ilvl="6">
      <w:start w:val="0"/>
      <w:numFmt w:val="bullet"/>
      <w:lvlText w:val="•"/>
      <w:lvlJc w:val="left"/>
      <w:pPr>
        <w:ind w:left="9932" w:hanging="352"/>
      </w:pPr>
      <w:rPr>
        <w:rFonts w:hint="default"/>
      </w:rPr>
    </w:lvl>
    <w:lvl w:ilvl="7">
      <w:start w:val="0"/>
      <w:numFmt w:val="bullet"/>
      <w:lvlText w:val="•"/>
      <w:lvlJc w:val="left"/>
      <w:pPr>
        <w:ind w:left="11404" w:hanging="352"/>
      </w:pPr>
      <w:rPr>
        <w:rFonts w:hint="default"/>
      </w:rPr>
    </w:lvl>
    <w:lvl w:ilvl="8">
      <w:start w:val="0"/>
      <w:numFmt w:val="bullet"/>
      <w:lvlText w:val="•"/>
      <w:lvlJc w:val="left"/>
      <w:pPr>
        <w:ind w:left="12876" w:hanging="35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66"/>
      <w:ind w:left="1108" w:right="1017"/>
      <w:outlineLvl w:val="1"/>
    </w:pPr>
    <w:rPr>
      <w:rFonts w:ascii="Georgia" w:hAnsi="Georgia" w:eastAsia="Georgia" w:cs="Georgia"/>
      <w:i/>
      <w:sz w:val="27"/>
      <w:szCs w:val="27"/>
    </w:rPr>
  </w:style>
  <w:style w:styleId="Heading2" w:type="paragraph">
    <w:name w:val="Heading 2"/>
    <w:basedOn w:val="Normal"/>
    <w:uiPriority w:val="1"/>
    <w:qFormat/>
    <w:pPr>
      <w:spacing w:before="107"/>
      <w:ind w:left="567"/>
      <w:outlineLvl w:val="2"/>
    </w:pPr>
    <w:rPr>
      <w:rFonts w:ascii="Georgia" w:hAnsi="Georgia" w:eastAsia="Georgia" w:cs="Georgia"/>
      <w:i/>
      <w:sz w:val="22"/>
      <w:szCs w:val="22"/>
    </w:rPr>
  </w:style>
  <w:style w:styleId="Heading3" w:type="paragraph">
    <w:name w:val="Heading 3"/>
    <w:basedOn w:val="Normal"/>
    <w:uiPriority w:val="1"/>
    <w:qFormat/>
    <w:pPr>
      <w:ind w:left="108"/>
      <w:outlineLvl w:val="3"/>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before="107"/>
      <w:ind w:left="1108"/>
    </w:pPr>
    <w:rPr>
      <w:rFonts w:ascii="Georgia" w:hAnsi="Georgia" w:eastAsia="Georgia" w:cs="Georgia"/>
    </w:rPr>
  </w:style>
  <w:style w:styleId="TableParagraph" w:type="paragraph">
    <w:name w:val="Table Paragraph"/>
    <w:basedOn w:val="Normal"/>
    <w:uiPriority w:val="1"/>
    <w:qFormat/>
    <w:pPr>
      <w:spacing w:before="91"/>
      <w:ind w:left="9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2020-12-09T22:56:33Z</dcterms:created>
  <dcterms:modified xsi:type="dcterms:W3CDTF">2020-12-09T22:56:33Z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