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63</w:t>
      </w:r>
    </w:p>
    <w:p>
      <w:pPr>
        <w:spacing w:before="357"/>
        <w:ind w:left="108" w:right="0" w:firstLine="0"/>
        <w:jc w:val="left"/>
        <w:rPr>
          <w:b/>
          <w:sz w:val="32"/>
        </w:rPr>
      </w:pPr>
      <w:r>
        <w:rPr>
          <w:b/>
          <w:color w:val="202020"/>
          <w:sz w:val="32"/>
        </w:rPr>
        <w:t>BOUNTY LEGISLATION AMENDMENT ACT 1997 - ACT No. 105 of 1997</w:t>
      </w:r>
    </w:p>
    <w:p>
      <w:pPr>
        <w:spacing w:before="254"/>
        <w:ind w:left="108" w:right="0" w:firstLine="0"/>
        <w:jc w:val="left"/>
        <w:rPr>
          <w:sz w:val="19"/>
        </w:rPr>
      </w:pPr>
      <w:r>
        <w:rPr>
          <w:sz w:val="19"/>
        </w:rPr>
        <w:t>The </w:t>
      </w:r>
      <w:r>
        <w:rPr>
          <w:i/>
          <w:sz w:val="19"/>
        </w:rPr>
        <w:t>Bounty Legislation Amendment Act 1997 </w:t>
      </w:r>
      <w:r>
        <w:rPr>
          <w:sz w:val="19"/>
        </w:rPr>
        <w:t>received the Royal Assent on </w:t>
      </w:r>
      <w:r>
        <w:rPr>
          <w:b/>
          <w:sz w:val="19"/>
        </w:rPr>
        <w:t>30 June 1997 </w:t>
      </w:r>
      <w:r>
        <w:rPr>
          <w:sz w:val="19"/>
        </w:rPr>
        <w:t>as Act No. 105 of 1997.</w:t>
      </w:r>
    </w:p>
    <w:p>
      <w:pPr>
        <w:pStyle w:val="BodyText"/>
        <w:rPr>
          <w:sz w:val="20"/>
        </w:rPr>
      </w:pPr>
    </w:p>
    <w:p>
      <w:pPr>
        <w:pStyle w:val="BodyText"/>
        <w:spacing w:line="237" w:lineRule="auto" w:before="176"/>
        <w:ind w:left="108" w:right="509"/>
      </w:pPr>
      <w:r>
        <w:rPr/>
        <w:t>Act No. 105 of 1997 represents the Parliament's final position on the Government changes to Bounty schemes announced in the 1996-97 Budget on 20 August 1996. The Act, which commenced on 30 June 1997, amends the </w:t>
      </w:r>
      <w:r>
        <w:rPr>
          <w:i/>
        </w:rPr>
        <w:t>Bounty (Computers) Act 1984 </w:t>
      </w:r>
      <w:r>
        <w:rPr/>
        <w:t>and the </w:t>
      </w:r>
      <w:r>
        <w:rPr>
          <w:i/>
        </w:rPr>
        <w:t>Bounty (Ships) Act 1989</w:t>
      </w:r>
      <w:r>
        <w:rPr/>
        <w:t>.</w:t>
      </w:r>
    </w:p>
    <w:p>
      <w:pPr>
        <w:pStyle w:val="BodyText"/>
        <w:spacing w:before="4"/>
        <w:rPr>
          <w:sz w:val="16"/>
        </w:rPr>
      </w:pPr>
    </w:p>
    <w:p>
      <w:pPr>
        <w:pStyle w:val="BodyText"/>
        <w:spacing w:line="217" w:lineRule="exact"/>
        <w:ind w:left="108"/>
      </w:pPr>
      <w:r>
        <w:rPr/>
        <w:t>The amendments implement the following changes to those Acts:</w:t>
      </w:r>
    </w:p>
    <w:p>
      <w:pPr>
        <w:spacing w:line="217" w:lineRule="exact" w:before="0"/>
        <w:ind w:left="487" w:right="0" w:firstLine="0"/>
        <w:jc w:val="left"/>
        <w:rPr>
          <w:sz w:val="19"/>
        </w:rPr>
      </w:pPr>
      <w:r>
        <w:rPr>
          <w:sz w:val="19"/>
        </w:rPr>
        <w:t>The </w:t>
      </w:r>
      <w:r>
        <w:rPr>
          <w:i/>
          <w:sz w:val="19"/>
        </w:rPr>
        <w:t>Bounty (Computers) Act 1984 </w:t>
      </w:r>
      <w:r>
        <w:rPr>
          <w:sz w:val="19"/>
        </w:rPr>
        <w:t>- the "bounty period" ended on 30 June 1997.</w:t>
      </w:r>
    </w:p>
    <w:p>
      <w:pPr>
        <w:pStyle w:val="BodyText"/>
        <w:spacing w:before="3"/>
        <w:rPr>
          <w:sz w:val="16"/>
        </w:rPr>
      </w:pPr>
    </w:p>
    <w:p>
      <w:pPr>
        <w:spacing w:before="0"/>
        <w:ind w:left="487" w:right="0" w:firstLine="0"/>
        <w:jc w:val="left"/>
        <w:rPr>
          <w:sz w:val="19"/>
        </w:rPr>
      </w:pPr>
      <w:r>
        <w:rPr>
          <w:sz w:val="19"/>
        </w:rPr>
        <w:t>The </w:t>
      </w:r>
      <w:r>
        <w:rPr>
          <w:i/>
          <w:sz w:val="19"/>
        </w:rPr>
        <w:t>Bounty (Ships) Act 1989 </w:t>
      </w:r>
      <w:r>
        <w:rPr>
          <w:sz w:val="19"/>
        </w:rPr>
        <w:t>- the period to which the Act applies has been extended to 30 June 1999.</w:t>
      </w:r>
    </w:p>
    <w:p>
      <w:pPr>
        <w:pStyle w:val="BodyText"/>
        <w:spacing w:before="5"/>
        <w:rPr>
          <w:sz w:val="16"/>
        </w:rPr>
      </w:pPr>
    </w:p>
    <w:p>
      <w:pPr>
        <w:pStyle w:val="BodyText"/>
        <w:spacing w:line="237" w:lineRule="auto"/>
        <w:ind w:left="487" w:right="509"/>
      </w:pPr>
      <w:r>
        <w:rPr/>
        <w:t>Bounty will be paid on the construction or modification of vessels that are produced according to a firm commitment entered into before 1 January 1998. In order to establish the existence of a firm commitment the vessel must have been identified in a business plan covering the period to 30 June 1999. The plan must be lodged with the Department of Industry, Science and Tourism, before 15 January 1998. The business plan must set out details which indicate that the construction or modification of the vessel was committed to (either in a contract or otherwise) before 1 January 1998.</w:t>
      </w:r>
    </w:p>
    <w:p>
      <w:pPr>
        <w:pStyle w:val="BodyText"/>
        <w:spacing w:before="6"/>
        <w:rPr>
          <w:sz w:val="16"/>
        </w:rPr>
      </w:pPr>
    </w:p>
    <w:p>
      <w:pPr>
        <w:pStyle w:val="BodyText"/>
        <w:spacing w:line="237" w:lineRule="auto" w:before="1"/>
        <w:ind w:left="487" w:right="401"/>
      </w:pPr>
      <w:r>
        <w:rPr/>
        <w:t>The Bounty (Ships) Act amendments also allow claims to be made for the construction or modification of vessels if the construction or modification is at least 50% complete on 30 June 1999.</w:t>
      </w:r>
    </w:p>
    <w:p>
      <w:pPr>
        <w:pStyle w:val="BodyText"/>
        <w:spacing w:before="5"/>
        <w:rPr>
          <w:sz w:val="16"/>
        </w:rPr>
      </w:pPr>
    </w:p>
    <w:p>
      <w:pPr>
        <w:spacing w:line="237" w:lineRule="auto" w:before="0"/>
        <w:ind w:left="108" w:right="408" w:firstLine="0"/>
        <w:jc w:val="left"/>
        <w:rPr>
          <w:sz w:val="19"/>
        </w:rPr>
      </w:pPr>
      <w:r>
        <w:rPr>
          <w:sz w:val="19"/>
        </w:rPr>
        <w:t>The accelerated expiry of the </w:t>
      </w:r>
      <w:r>
        <w:rPr>
          <w:i/>
          <w:sz w:val="19"/>
        </w:rPr>
        <w:t>Bounty (Books) Act 1986 </w:t>
      </w:r>
      <w:r>
        <w:rPr>
          <w:sz w:val="19"/>
        </w:rPr>
        <w:t>and </w:t>
      </w:r>
      <w:r>
        <w:rPr>
          <w:i/>
          <w:sz w:val="19"/>
        </w:rPr>
        <w:t>Bounty (Machine Tools and Robots) Act 1985</w:t>
      </w:r>
      <w:r>
        <w:rPr>
          <w:sz w:val="19"/>
        </w:rPr>
        <w:t>, announced in the August 1996 Budget was not achieved and both bounties will expire in line with current legislation as follows:</w:t>
      </w:r>
    </w:p>
    <w:p>
      <w:pPr>
        <w:spacing w:line="217" w:lineRule="exact" w:before="0"/>
        <w:ind w:left="487" w:right="0" w:firstLine="0"/>
        <w:jc w:val="left"/>
        <w:rPr>
          <w:sz w:val="19"/>
        </w:rPr>
      </w:pPr>
      <w:r>
        <w:rPr>
          <w:sz w:val="19"/>
        </w:rPr>
        <w:t>The </w:t>
      </w:r>
      <w:r>
        <w:rPr>
          <w:i/>
          <w:sz w:val="19"/>
        </w:rPr>
        <w:t>Bounty (Books) Act 1986 </w:t>
      </w:r>
      <w:r>
        <w:rPr>
          <w:sz w:val="19"/>
        </w:rPr>
        <w:t>- the "bounty period" ends on 31 December 1997.</w:t>
      </w:r>
    </w:p>
    <w:p>
      <w:pPr>
        <w:pStyle w:val="BodyText"/>
        <w:spacing w:before="3"/>
        <w:rPr>
          <w:sz w:val="16"/>
        </w:rPr>
      </w:pPr>
    </w:p>
    <w:p>
      <w:pPr>
        <w:spacing w:before="1"/>
        <w:ind w:left="487" w:right="0" w:firstLine="0"/>
        <w:jc w:val="left"/>
        <w:rPr>
          <w:sz w:val="19"/>
        </w:rPr>
      </w:pPr>
      <w:r>
        <w:rPr>
          <w:sz w:val="19"/>
        </w:rPr>
        <w:t>The </w:t>
      </w:r>
      <w:r>
        <w:rPr>
          <w:i/>
          <w:sz w:val="19"/>
        </w:rPr>
        <w:t>Bounty (Machine, Tools and Robots ) Act 1985 </w:t>
      </w:r>
      <w:r>
        <w:rPr>
          <w:sz w:val="19"/>
        </w:rPr>
        <w:t>- the "bounty period" ended on 30 June 1997.</w:t>
      </w:r>
    </w:p>
    <w:p>
      <w:pPr>
        <w:pStyle w:val="BodyText"/>
        <w:spacing w:before="5"/>
        <w:rPr>
          <w:sz w:val="16"/>
        </w:rPr>
      </w:pPr>
    </w:p>
    <w:p>
      <w:pPr>
        <w:pStyle w:val="BodyText"/>
        <w:spacing w:line="237" w:lineRule="auto"/>
        <w:ind w:left="108" w:right="389"/>
      </w:pPr>
      <w:r>
        <w:rPr/>
        <w:t>It should be noted that although the "bounty period" has now expired for the Machine Tools and Robots and Computers Bounties, the Bounty Acts have not been repealed. Rights and obligations in respect of eligible production during the bounty periods under the Acts continue. This is particularly relevant in respect of lodgement of Returns of Factory Costs and Statements of Difference for previous claims.</w:t>
      </w:r>
    </w:p>
    <w:p>
      <w:pPr>
        <w:pStyle w:val="BodyText"/>
        <w:spacing w:before="4"/>
        <w:rPr>
          <w:sz w:val="16"/>
        </w:rPr>
      </w:pPr>
    </w:p>
    <w:p>
      <w:pPr>
        <w:pStyle w:val="BodyText"/>
        <w:ind w:left="108"/>
      </w:pPr>
      <w:r>
        <w:rPr/>
        <w:t>The ACS is keen to assist claimants in the finalisation of their claims. Please contact Bounty officers in your region to assist in achieving this end:</w:t>
      </w:r>
    </w:p>
    <w:p>
      <w:pPr>
        <w:pStyle w:val="BodyText"/>
        <w:spacing w:before="5" w:after="1"/>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4823"/>
        <w:gridCol w:w="5466"/>
        <w:gridCol w:w="5304"/>
      </w:tblGrid>
      <w:tr>
        <w:trPr>
          <w:trHeight w:val="593" w:hRule="atLeast"/>
        </w:trPr>
        <w:tc>
          <w:tcPr>
            <w:tcW w:w="4823" w:type="dxa"/>
            <w:tcBorders>
              <w:left w:val="nil"/>
            </w:tcBorders>
          </w:tcPr>
          <w:p>
            <w:pPr>
              <w:pStyle w:val="TableParagraph"/>
              <w:ind w:left="101"/>
              <w:rPr>
                <w:b/>
                <w:sz w:val="19"/>
              </w:rPr>
            </w:pPr>
            <w:r>
              <w:rPr>
                <w:b/>
                <w:color w:val="202020"/>
                <w:sz w:val="19"/>
              </w:rPr>
              <w:t>QUEENSLAND</w:t>
            </w:r>
          </w:p>
        </w:tc>
        <w:tc>
          <w:tcPr>
            <w:tcW w:w="5466" w:type="dxa"/>
          </w:tcPr>
          <w:p>
            <w:pPr>
              <w:pStyle w:val="TableParagraph"/>
              <w:ind w:left="100"/>
              <w:rPr>
                <w:b/>
                <w:sz w:val="19"/>
              </w:rPr>
            </w:pPr>
            <w:r>
              <w:rPr>
                <w:b/>
                <w:color w:val="202020"/>
                <w:sz w:val="19"/>
              </w:rPr>
              <w:t>VICTORIA</w:t>
            </w:r>
          </w:p>
        </w:tc>
        <w:tc>
          <w:tcPr>
            <w:tcW w:w="5304" w:type="dxa"/>
            <w:tcBorders>
              <w:right w:val="nil"/>
            </w:tcBorders>
          </w:tcPr>
          <w:p>
            <w:pPr>
              <w:pStyle w:val="TableParagraph"/>
              <w:ind w:left="100"/>
              <w:rPr>
                <w:b/>
                <w:sz w:val="19"/>
              </w:rPr>
            </w:pPr>
            <w:r>
              <w:rPr>
                <w:b/>
                <w:color w:val="202020"/>
                <w:sz w:val="19"/>
              </w:rPr>
              <w:t>WESTERN AUSTRALIA</w:t>
            </w:r>
          </w:p>
        </w:tc>
      </w:tr>
      <w:tr>
        <w:trPr>
          <w:trHeight w:val="593" w:hRule="atLeast"/>
        </w:trPr>
        <w:tc>
          <w:tcPr>
            <w:tcW w:w="4823" w:type="dxa"/>
            <w:tcBorders>
              <w:left w:val="nil"/>
            </w:tcBorders>
          </w:tcPr>
          <w:p>
            <w:pPr>
              <w:pStyle w:val="TableParagraph"/>
              <w:ind w:left="101"/>
              <w:rPr>
                <w:sz w:val="19"/>
              </w:rPr>
            </w:pPr>
            <w:r>
              <w:rPr>
                <w:color w:val="202020"/>
                <w:sz w:val="19"/>
              </w:rPr>
              <w:t>Gary Scanes</w:t>
            </w:r>
          </w:p>
        </w:tc>
        <w:tc>
          <w:tcPr>
            <w:tcW w:w="5466" w:type="dxa"/>
          </w:tcPr>
          <w:p>
            <w:pPr>
              <w:pStyle w:val="TableParagraph"/>
              <w:ind w:left="100"/>
              <w:rPr>
                <w:sz w:val="19"/>
              </w:rPr>
            </w:pPr>
            <w:r>
              <w:rPr>
                <w:color w:val="202020"/>
                <w:sz w:val="19"/>
              </w:rPr>
              <w:t>Des O'Connor</w:t>
            </w:r>
          </w:p>
        </w:tc>
        <w:tc>
          <w:tcPr>
            <w:tcW w:w="5304" w:type="dxa"/>
            <w:tcBorders>
              <w:right w:val="nil"/>
            </w:tcBorders>
          </w:tcPr>
          <w:p>
            <w:pPr>
              <w:pStyle w:val="TableParagraph"/>
              <w:ind w:left="100"/>
              <w:rPr>
                <w:sz w:val="19"/>
              </w:rPr>
            </w:pPr>
            <w:r>
              <w:rPr>
                <w:color w:val="202020"/>
                <w:sz w:val="19"/>
              </w:rPr>
              <w:t>Mark Debeljakovic</w:t>
            </w:r>
          </w:p>
        </w:tc>
      </w:tr>
      <w:tr>
        <w:trPr>
          <w:trHeight w:val="593" w:hRule="atLeast"/>
        </w:trPr>
        <w:tc>
          <w:tcPr>
            <w:tcW w:w="4823" w:type="dxa"/>
            <w:tcBorders>
              <w:left w:val="nil"/>
            </w:tcBorders>
          </w:tcPr>
          <w:p>
            <w:pPr>
              <w:pStyle w:val="TableParagraph"/>
              <w:ind w:left="101"/>
              <w:rPr>
                <w:sz w:val="19"/>
              </w:rPr>
            </w:pPr>
            <w:r>
              <w:rPr>
                <w:color w:val="202020"/>
                <w:sz w:val="19"/>
              </w:rPr>
              <w:t>Ph (07) 3835 3177</w:t>
            </w:r>
          </w:p>
        </w:tc>
        <w:tc>
          <w:tcPr>
            <w:tcW w:w="5466" w:type="dxa"/>
          </w:tcPr>
          <w:p>
            <w:pPr>
              <w:pStyle w:val="TableParagraph"/>
              <w:ind w:left="100"/>
              <w:rPr>
                <w:sz w:val="19"/>
              </w:rPr>
            </w:pPr>
            <w:r>
              <w:rPr>
                <w:color w:val="202020"/>
                <w:sz w:val="19"/>
              </w:rPr>
              <w:t>Ph (03) 9244 8330</w:t>
            </w:r>
          </w:p>
        </w:tc>
        <w:tc>
          <w:tcPr>
            <w:tcW w:w="5304" w:type="dxa"/>
            <w:tcBorders>
              <w:right w:val="nil"/>
            </w:tcBorders>
          </w:tcPr>
          <w:p>
            <w:pPr>
              <w:pStyle w:val="TableParagraph"/>
              <w:ind w:left="100"/>
              <w:rPr>
                <w:sz w:val="19"/>
              </w:rPr>
            </w:pPr>
            <w:r>
              <w:rPr>
                <w:color w:val="202020"/>
                <w:sz w:val="19"/>
              </w:rPr>
              <w:t>(09) 430 1751</w:t>
            </w:r>
          </w:p>
        </w:tc>
      </w:tr>
      <w:tr>
        <w:trPr>
          <w:trHeight w:val="377" w:hRule="atLeast"/>
        </w:trPr>
        <w:tc>
          <w:tcPr>
            <w:tcW w:w="4823" w:type="dxa"/>
            <w:tcBorders>
              <w:left w:val="nil"/>
            </w:tcBorders>
          </w:tcPr>
          <w:p>
            <w:pPr>
              <w:pStyle w:val="TableParagraph"/>
              <w:spacing w:before="0"/>
              <w:rPr>
                <w:rFonts w:ascii="Times New Roman"/>
                <w:sz w:val="18"/>
              </w:rPr>
            </w:pPr>
          </w:p>
        </w:tc>
        <w:tc>
          <w:tcPr>
            <w:tcW w:w="5466" w:type="dxa"/>
          </w:tcPr>
          <w:p>
            <w:pPr>
              <w:pStyle w:val="TableParagraph"/>
              <w:spacing w:before="0"/>
              <w:rPr>
                <w:rFonts w:ascii="Times New Roman"/>
                <w:sz w:val="18"/>
              </w:rPr>
            </w:pPr>
          </w:p>
        </w:tc>
        <w:tc>
          <w:tcPr>
            <w:tcW w:w="5304" w:type="dxa"/>
            <w:tcBorders>
              <w:right w:val="nil"/>
            </w:tcBorders>
          </w:tcPr>
          <w:p>
            <w:pPr>
              <w:pStyle w:val="TableParagraph"/>
              <w:spacing w:before="0"/>
              <w:rPr>
                <w:rFonts w:ascii="Times New Roman"/>
                <w:sz w:val="18"/>
              </w:rPr>
            </w:pPr>
          </w:p>
        </w:tc>
      </w:tr>
      <w:tr>
        <w:trPr>
          <w:trHeight w:val="464" w:hRule="atLeast"/>
        </w:trPr>
        <w:tc>
          <w:tcPr>
            <w:tcW w:w="4823" w:type="dxa"/>
            <w:tcBorders>
              <w:left w:val="nil"/>
              <w:bottom w:val="nil"/>
            </w:tcBorders>
          </w:tcPr>
          <w:p>
            <w:pPr>
              <w:pStyle w:val="TableParagraph"/>
              <w:ind w:left="101"/>
              <w:rPr>
                <w:b/>
                <w:sz w:val="19"/>
              </w:rPr>
            </w:pPr>
            <w:r>
              <w:rPr>
                <w:b/>
                <w:color w:val="202020"/>
                <w:sz w:val="19"/>
              </w:rPr>
              <w:t>SOUTH AUSTRALIA</w:t>
            </w:r>
          </w:p>
        </w:tc>
        <w:tc>
          <w:tcPr>
            <w:tcW w:w="5466" w:type="dxa"/>
            <w:tcBorders>
              <w:bottom w:val="nil"/>
            </w:tcBorders>
          </w:tcPr>
          <w:p>
            <w:pPr>
              <w:pStyle w:val="TableParagraph"/>
              <w:ind w:left="100"/>
              <w:rPr>
                <w:b/>
                <w:sz w:val="19"/>
              </w:rPr>
            </w:pPr>
            <w:r>
              <w:rPr>
                <w:b/>
                <w:color w:val="202020"/>
                <w:sz w:val="19"/>
              </w:rPr>
              <w:t>TASMANIA</w:t>
            </w:r>
          </w:p>
        </w:tc>
        <w:tc>
          <w:tcPr>
            <w:tcW w:w="5304" w:type="dxa"/>
            <w:tcBorders>
              <w:bottom w:val="nil"/>
              <w:right w:val="nil"/>
            </w:tcBorders>
          </w:tcPr>
          <w:p>
            <w:pPr>
              <w:pStyle w:val="TableParagraph"/>
              <w:spacing w:before="0"/>
              <w:rPr>
                <w:rFonts w:ascii="Times New Roman"/>
                <w:sz w:val="18"/>
              </w:rPr>
            </w:pPr>
          </w:p>
        </w:tc>
      </w:tr>
    </w:tbl>
    <w:p>
      <w:pPr>
        <w:spacing w:after="0"/>
        <w:rPr>
          <w:rFonts w:ascii="Times New Roman"/>
          <w:sz w:val="18"/>
        </w:rPr>
        <w:sectPr>
          <w:type w:val="continuous"/>
          <w:pgSz w:w="16840" w:h="11900" w:orient="landscape"/>
          <w:pgMar w:top="680" w:bottom="280" w:left="580" w:right="440"/>
        </w:sectPr>
      </w:pPr>
    </w:p>
    <w:p>
      <w:pPr>
        <w:pStyle w:val="BodyText"/>
        <w:spacing w:before="2"/>
        <w:rPr>
          <w:sz w:val="8"/>
        </w:rPr>
      </w:pPr>
      <w:r>
        <w:rPr/>
        <w:pict>
          <v:rect style="position:absolute;margin-left:548.490051pt;margin-top:28.999973pt;width:.676pt;height:5.412pt;mso-position-horizontal-relative:page;mso-position-vertical-relative:page;z-index:15728640" filled="true" fillcolor="#c8c8c8" stroked="false">
            <v:fill type="solid"/>
            <w10:wrap type="none"/>
          </v:rect>
        </w:pict>
      </w:r>
      <w:r>
        <w:rPr/>
        <w:pict>
          <v:rect style="position:absolute;margin-left:275.216003pt;margin-top:28.999973pt;width:.677pt;height:5.412pt;mso-position-horizontal-relative:page;mso-position-vertical-relative:page;z-index:15729152" filled="true" fillcolor="#c8c8c8" stroked="false">
            <v:fill type="solid"/>
            <w10:wrap type="none"/>
          </v:rect>
        </w:pict>
      </w: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4823"/>
        <w:gridCol w:w="5466"/>
        <w:gridCol w:w="5304"/>
      </w:tblGrid>
      <w:tr>
        <w:trPr>
          <w:trHeight w:val="593" w:hRule="atLeast"/>
        </w:trPr>
        <w:tc>
          <w:tcPr>
            <w:tcW w:w="4823" w:type="dxa"/>
            <w:tcBorders>
              <w:left w:val="nil"/>
            </w:tcBorders>
          </w:tcPr>
          <w:p>
            <w:pPr>
              <w:pStyle w:val="TableParagraph"/>
              <w:ind w:left="101"/>
              <w:rPr>
                <w:sz w:val="19"/>
              </w:rPr>
            </w:pPr>
            <w:r>
              <w:rPr>
                <w:color w:val="202020"/>
                <w:sz w:val="19"/>
              </w:rPr>
              <w:t>Bill Jennings</w:t>
            </w:r>
          </w:p>
        </w:tc>
        <w:tc>
          <w:tcPr>
            <w:tcW w:w="5466" w:type="dxa"/>
          </w:tcPr>
          <w:p>
            <w:pPr>
              <w:pStyle w:val="TableParagraph"/>
              <w:ind w:left="100"/>
              <w:rPr>
                <w:sz w:val="19"/>
              </w:rPr>
            </w:pPr>
            <w:r>
              <w:rPr>
                <w:color w:val="202020"/>
                <w:sz w:val="19"/>
              </w:rPr>
              <w:t>Graham Evans</w:t>
            </w:r>
          </w:p>
        </w:tc>
        <w:tc>
          <w:tcPr>
            <w:tcW w:w="5304" w:type="dxa"/>
            <w:tcBorders>
              <w:right w:val="nil"/>
            </w:tcBorders>
          </w:tcPr>
          <w:p>
            <w:pPr>
              <w:pStyle w:val="TableParagraph"/>
              <w:spacing w:before="0"/>
              <w:rPr>
                <w:rFonts w:ascii="Times New Roman"/>
                <w:sz w:val="18"/>
              </w:rPr>
            </w:pPr>
          </w:p>
        </w:tc>
      </w:tr>
      <w:tr>
        <w:trPr>
          <w:trHeight w:val="593" w:hRule="atLeast"/>
        </w:trPr>
        <w:tc>
          <w:tcPr>
            <w:tcW w:w="4823" w:type="dxa"/>
            <w:tcBorders>
              <w:left w:val="nil"/>
            </w:tcBorders>
          </w:tcPr>
          <w:p>
            <w:pPr>
              <w:pStyle w:val="TableParagraph"/>
              <w:ind w:left="101"/>
              <w:rPr>
                <w:sz w:val="19"/>
              </w:rPr>
            </w:pPr>
            <w:r>
              <w:rPr>
                <w:color w:val="202020"/>
                <w:sz w:val="19"/>
              </w:rPr>
              <w:t>Ph (08) 8447 9321</w:t>
            </w:r>
          </w:p>
        </w:tc>
        <w:tc>
          <w:tcPr>
            <w:tcW w:w="5466" w:type="dxa"/>
          </w:tcPr>
          <w:p>
            <w:pPr>
              <w:pStyle w:val="TableParagraph"/>
              <w:ind w:left="100"/>
              <w:rPr>
                <w:sz w:val="19"/>
              </w:rPr>
            </w:pPr>
            <w:r>
              <w:rPr>
                <w:color w:val="202020"/>
                <w:sz w:val="19"/>
              </w:rPr>
              <w:t>Ph (03) 6230 1294</w:t>
            </w:r>
          </w:p>
        </w:tc>
        <w:tc>
          <w:tcPr>
            <w:tcW w:w="5304" w:type="dxa"/>
            <w:tcBorders>
              <w:right w:val="nil"/>
            </w:tcBorders>
          </w:tcPr>
          <w:p>
            <w:pPr>
              <w:pStyle w:val="TableParagraph"/>
              <w:spacing w:before="0"/>
              <w:rPr>
                <w:rFonts w:ascii="Times New Roman"/>
                <w:sz w:val="18"/>
              </w:rPr>
            </w:pPr>
          </w:p>
        </w:tc>
      </w:tr>
      <w:tr>
        <w:trPr>
          <w:trHeight w:val="377" w:hRule="atLeast"/>
        </w:trPr>
        <w:tc>
          <w:tcPr>
            <w:tcW w:w="4823" w:type="dxa"/>
            <w:tcBorders>
              <w:left w:val="nil"/>
            </w:tcBorders>
          </w:tcPr>
          <w:p>
            <w:pPr>
              <w:pStyle w:val="TableParagraph"/>
              <w:spacing w:before="0"/>
              <w:rPr>
                <w:rFonts w:ascii="Times New Roman"/>
                <w:sz w:val="18"/>
              </w:rPr>
            </w:pPr>
          </w:p>
        </w:tc>
        <w:tc>
          <w:tcPr>
            <w:tcW w:w="5466" w:type="dxa"/>
          </w:tcPr>
          <w:p>
            <w:pPr>
              <w:pStyle w:val="TableParagraph"/>
              <w:spacing w:before="0"/>
              <w:rPr>
                <w:rFonts w:ascii="Times New Roman"/>
                <w:sz w:val="18"/>
              </w:rPr>
            </w:pPr>
          </w:p>
        </w:tc>
        <w:tc>
          <w:tcPr>
            <w:tcW w:w="5304" w:type="dxa"/>
            <w:tcBorders>
              <w:right w:val="nil"/>
            </w:tcBorders>
          </w:tcPr>
          <w:p>
            <w:pPr>
              <w:pStyle w:val="TableParagraph"/>
              <w:spacing w:before="0"/>
              <w:rPr>
                <w:rFonts w:ascii="Times New Roman"/>
                <w:sz w:val="18"/>
              </w:rPr>
            </w:pPr>
          </w:p>
        </w:tc>
      </w:tr>
      <w:tr>
        <w:trPr>
          <w:trHeight w:val="593" w:hRule="atLeast"/>
        </w:trPr>
        <w:tc>
          <w:tcPr>
            <w:tcW w:w="4823" w:type="dxa"/>
            <w:tcBorders>
              <w:left w:val="nil"/>
            </w:tcBorders>
          </w:tcPr>
          <w:p>
            <w:pPr>
              <w:pStyle w:val="TableParagraph"/>
              <w:ind w:left="101"/>
              <w:rPr>
                <w:b/>
                <w:sz w:val="19"/>
              </w:rPr>
            </w:pPr>
            <w:r>
              <w:rPr>
                <w:b/>
                <w:color w:val="202020"/>
                <w:sz w:val="19"/>
              </w:rPr>
              <w:t>NEW SOUTH WALES</w:t>
            </w:r>
          </w:p>
        </w:tc>
        <w:tc>
          <w:tcPr>
            <w:tcW w:w="5466" w:type="dxa"/>
          </w:tcPr>
          <w:p>
            <w:pPr>
              <w:pStyle w:val="TableParagraph"/>
              <w:spacing w:before="0"/>
              <w:rPr>
                <w:rFonts w:ascii="Times New Roman"/>
                <w:sz w:val="18"/>
              </w:rPr>
            </w:pPr>
          </w:p>
        </w:tc>
        <w:tc>
          <w:tcPr>
            <w:tcW w:w="5304" w:type="dxa"/>
            <w:tcBorders>
              <w:right w:val="nil"/>
            </w:tcBorders>
          </w:tcPr>
          <w:p>
            <w:pPr>
              <w:pStyle w:val="TableParagraph"/>
              <w:spacing w:before="0"/>
              <w:rPr>
                <w:rFonts w:ascii="Times New Roman"/>
                <w:sz w:val="18"/>
              </w:rPr>
            </w:pPr>
          </w:p>
        </w:tc>
      </w:tr>
      <w:tr>
        <w:trPr>
          <w:trHeight w:val="593" w:hRule="atLeast"/>
        </w:trPr>
        <w:tc>
          <w:tcPr>
            <w:tcW w:w="4823" w:type="dxa"/>
            <w:tcBorders>
              <w:left w:val="nil"/>
            </w:tcBorders>
          </w:tcPr>
          <w:p>
            <w:pPr>
              <w:pStyle w:val="TableParagraph"/>
              <w:ind w:left="101"/>
              <w:rPr>
                <w:rFonts w:ascii="Arial-BoldItalicMT"/>
                <w:b/>
                <w:i/>
                <w:sz w:val="19"/>
              </w:rPr>
            </w:pPr>
            <w:r>
              <w:rPr>
                <w:rFonts w:ascii="Arial-BoldItalicMT"/>
                <w:b/>
                <w:i/>
                <w:color w:val="202020"/>
                <w:sz w:val="19"/>
              </w:rPr>
              <w:t>Claims</w:t>
            </w:r>
          </w:p>
        </w:tc>
        <w:tc>
          <w:tcPr>
            <w:tcW w:w="5466" w:type="dxa"/>
          </w:tcPr>
          <w:p>
            <w:pPr>
              <w:pStyle w:val="TableParagraph"/>
              <w:ind w:left="100"/>
              <w:rPr>
                <w:rFonts w:ascii="Arial-BoldItalicMT"/>
                <w:b/>
                <w:i/>
                <w:sz w:val="19"/>
              </w:rPr>
            </w:pPr>
            <w:r>
              <w:rPr>
                <w:rFonts w:ascii="Arial-BoldItalicMT"/>
                <w:b/>
                <w:i/>
                <w:color w:val="202020"/>
                <w:sz w:val="19"/>
              </w:rPr>
              <w:t>Return of Factory Costs</w:t>
            </w:r>
          </w:p>
        </w:tc>
        <w:tc>
          <w:tcPr>
            <w:tcW w:w="5304" w:type="dxa"/>
            <w:tcBorders>
              <w:right w:val="nil"/>
            </w:tcBorders>
          </w:tcPr>
          <w:p>
            <w:pPr>
              <w:pStyle w:val="TableParagraph"/>
              <w:spacing w:before="0"/>
              <w:rPr>
                <w:rFonts w:ascii="Times New Roman"/>
                <w:sz w:val="18"/>
              </w:rPr>
            </w:pPr>
          </w:p>
        </w:tc>
      </w:tr>
      <w:tr>
        <w:trPr>
          <w:trHeight w:val="593" w:hRule="atLeast"/>
        </w:trPr>
        <w:tc>
          <w:tcPr>
            <w:tcW w:w="4823" w:type="dxa"/>
            <w:tcBorders>
              <w:left w:val="nil"/>
            </w:tcBorders>
          </w:tcPr>
          <w:p>
            <w:pPr>
              <w:pStyle w:val="TableParagraph"/>
              <w:ind w:left="101"/>
              <w:rPr>
                <w:sz w:val="19"/>
              </w:rPr>
            </w:pPr>
            <w:r>
              <w:rPr>
                <w:color w:val="202020"/>
                <w:sz w:val="19"/>
              </w:rPr>
              <w:t>Rod McCosker</w:t>
            </w:r>
          </w:p>
        </w:tc>
        <w:tc>
          <w:tcPr>
            <w:tcW w:w="5466" w:type="dxa"/>
          </w:tcPr>
          <w:p>
            <w:pPr>
              <w:pStyle w:val="TableParagraph"/>
              <w:ind w:left="100"/>
              <w:rPr>
                <w:sz w:val="19"/>
              </w:rPr>
            </w:pPr>
            <w:r>
              <w:rPr>
                <w:color w:val="202020"/>
                <w:sz w:val="19"/>
              </w:rPr>
              <w:t>Jim Fleming</w:t>
            </w:r>
          </w:p>
        </w:tc>
        <w:tc>
          <w:tcPr>
            <w:tcW w:w="5304" w:type="dxa"/>
            <w:tcBorders>
              <w:right w:val="nil"/>
            </w:tcBorders>
          </w:tcPr>
          <w:p>
            <w:pPr>
              <w:pStyle w:val="TableParagraph"/>
              <w:spacing w:before="0"/>
              <w:rPr>
                <w:rFonts w:ascii="Times New Roman"/>
                <w:sz w:val="18"/>
              </w:rPr>
            </w:pPr>
          </w:p>
        </w:tc>
      </w:tr>
      <w:tr>
        <w:trPr>
          <w:trHeight w:val="593" w:hRule="atLeast"/>
        </w:trPr>
        <w:tc>
          <w:tcPr>
            <w:tcW w:w="4823" w:type="dxa"/>
            <w:tcBorders>
              <w:left w:val="nil"/>
            </w:tcBorders>
          </w:tcPr>
          <w:p>
            <w:pPr>
              <w:pStyle w:val="TableParagraph"/>
              <w:ind w:left="101"/>
              <w:rPr>
                <w:sz w:val="19"/>
              </w:rPr>
            </w:pPr>
            <w:r>
              <w:rPr>
                <w:color w:val="202020"/>
                <w:sz w:val="19"/>
              </w:rPr>
              <w:t>Ph (02) 9213 2679</w:t>
            </w:r>
          </w:p>
        </w:tc>
        <w:tc>
          <w:tcPr>
            <w:tcW w:w="5466" w:type="dxa"/>
          </w:tcPr>
          <w:p>
            <w:pPr>
              <w:pStyle w:val="TableParagraph"/>
              <w:ind w:left="100"/>
              <w:rPr>
                <w:sz w:val="19"/>
              </w:rPr>
            </w:pPr>
            <w:r>
              <w:rPr>
                <w:color w:val="202020"/>
                <w:sz w:val="19"/>
              </w:rPr>
              <w:t>Ph (02) 9213 2259</w:t>
            </w:r>
          </w:p>
        </w:tc>
        <w:tc>
          <w:tcPr>
            <w:tcW w:w="5304" w:type="dxa"/>
            <w:tcBorders>
              <w:right w:val="nil"/>
            </w:tcBorders>
          </w:tcPr>
          <w:p>
            <w:pPr>
              <w:pStyle w:val="TableParagraph"/>
              <w:spacing w:before="0"/>
              <w:rPr>
                <w:rFonts w:ascii="Times New Roman"/>
                <w:sz w:val="18"/>
              </w:rPr>
            </w:pPr>
          </w:p>
        </w:tc>
      </w:tr>
      <w:tr>
        <w:trPr>
          <w:trHeight w:val="377" w:hRule="atLeast"/>
        </w:trPr>
        <w:tc>
          <w:tcPr>
            <w:tcW w:w="4823" w:type="dxa"/>
            <w:tcBorders>
              <w:left w:val="nil"/>
            </w:tcBorders>
          </w:tcPr>
          <w:p>
            <w:pPr>
              <w:pStyle w:val="TableParagraph"/>
              <w:spacing w:before="0"/>
              <w:rPr>
                <w:rFonts w:ascii="Times New Roman"/>
                <w:sz w:val="18"/>
              </w:rPr>
            </w:pPr>
          </w:p>
        </w:tc>
        <w:tc>
          <w:tcPr>
            <w:tcW w:w="5466" w:type="dxa"/>
          </w:tcPr>
          <w:p>
            <w:pPr>
              <w:pStyle w:val="TableParagraph"/>
              <w:spacing w:before="0"/>
              <w:rPr>
                <w:rFonts w:ascii="Times New Roman"/>
                <w:sz w:val="18"/>
              </w:rPr>
            </w:pPr>
          </w:p>
        </w:tc>
        <w:tc>
          <w:tcPr>
            <w:tcW w:w="5304" w:type="dxa"/>
            <w:tcBorders>
              <w:right w:val="nil"/>
            </w:tcBorders>
          </w:tcPr>
          <w:p>
            <w:pPr>
              <w:pStyle w:val="TableParagraph"/>
              <w:spacing w:before="0"/>
              <w:rPr>
                <w:rFonts w:ascii="Times New Roman"/>
                <w:sz w:val="18"/>
              </w:rPr>
            </w:pPr>
          </w:p>
        </w:tc>
      </w:tr>
    </w:tbl>
    <w:p>
      <w:pPr>
        <w:pStyle w:val="BodyText"/>
        <w:spacing w:before="2"/>
        <w:rPr>
          <w:sz w:val="8"/>
        </w:rPr>
      </w:pPr>
    </w:p>
    <w:p>
      <w:pPr>
        <w:spacing w:line="237" w:lineRule="auto" w:before="95"/>
        <w:ind w:left="108" w:right="9395" w:firstLine="0"/>
        <w:jc w:val="left"/>
        <w:rPr>
          <w:b/>
          <w:sz w:val="19"/>
        </w:rPr>
      </w:pPr>
      <w:r>
        <w:rPr>
          <w:sz w:val="19"/>
        </w:rPr>
        <w:t>For further information please contact </w:t>
      </w:r>
      <w:r>
        <w:rPr>
          <w:b/>
          <w:sz w:val="19"/>
        </w:rPr>
        <w:t>Joe Eastmure (06 275 6653) </w:t>
      </w:r>
      <w:r>
        <w:rPr>
          <w:sz w:val="19"/>
        </w:rPr>
        <w:t>or </w:t>
      </w:r>
      <w:r>
        <w:rPr>
          <w:b/>
          <w:sz w:val="19"/>
        </w:rPr>
        <w:t>Mike Kearns (06 275 5805).</w:t>
      </w:r>
    </w:p>
    <w:p>
      <w:pPr>
        <w:pStyle w:val="BodyText"/>
        <w:spacing w:before="4"/>
        <w:rPr>
          <w:b/>
          <w:sz w:val="16"/>
        </w:rPr>
      </w:pPr>
    </w:p>
    <w:p>
      <w:pPr>
        <w:pStyle w:val="BodyText"/>
        <w:spacing w:line="217" w:lineRule="exact"/>
        <w:ind w:left="108"/>
      </w:pPr>
      <w:r>
        <w:rPr/>
        <w:t>MARION GRANT</w:t>
      </w:r>
    </w:p>
    <w:p>
      <w:pPr>
        <w:pStyle w:val="BodyText"/>
        <w:spacing w:line="237" w:lineRule="auto" w:before="1"/>
        <w:ind w:left="108" w:right="13556"/>
      </w:pPr>
      <w:r>
        <w:rPr/>
        <w:t>National Manager Industry</w:t>
      </w:r>
    </w:p>
    <w:p>
      <w:pPr>
        <w:pStyle w:val="BodyText"/>
        <w:spacing w:before="5"/>
        <w:rPr>
          <w:sz w:val="16"/>
        </w:rPr>
      </w:pPr>
    </w:p>
    <w:p>
      <w:pPr>
        <w:pStyle w:val="BodyText"/>
        <w:spacing w:line="237" w:lineRule="auto" w:before="1"/>
        <w:ind w:left="108" w:right="11636"/>
      </w:pPr>
      <w:r>
        <w:rPr/>
        <w:t>FOR CHIEF EXECUTIVE OFFICER CANBERRA ACT 2601</w:t>
      </w:r>
    </w:p>
    <w:p>
      <w:pPr>
        <w:pStyle w:val="BodyText"/>
        <w:spacing w:before="3"/>
        <w:rPr>
          <w:sz w:val="16"/>
        </w:rPr>
      </w:pPr>
    </w:p>
    <w:p>
      <w:pPr>
        <w:pStyle w:val="BodyText"/>
        <w:spacing w:before="1"/>
        <w:ind w:left="108"/>
      </w:pPr>
      <w:r>
        <w:rPr/>
        <w:t>22 July 1997</w:t>
      </w:r>
    </w:p>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1"/>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2020-12-09T22:36:06Z</dcterms:created>
  <dcterms:modified xsi:type="dcterms:W3CDTF">2020-12-09T22:36:06Z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