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65</w:t>
      </w:r>
    </w:p>
    <w:p>
      <w:pPr>
        <w:spacing w:before="357"/>
        <w:ind w:left="108" w:right="0" w:firstLine="0"/>
        <w:jc w:val="left"/>
        <w:rPr>
          <w:b/>
          <w:sz w:val="32"/>
        </w:rPr>
      </w:pPr>
      <w:r>
        <w:rPr>
          <w:b/>
          <w:color w:val="202020"/>
          <w:sz w:val="32"/>
        </w:rPr>
        <w:t>INCREASE IN FOREST AND WOOD PRODUCTS RESEARCH LEVY</w:t>
      </w:r>
    </w:p>
    <w:p>
      <w:pPr>
        <w:pStyle w:val="BodyText"/>
        <w:spacing w:line="237" w:lineRule="auto" w:before="256"/>
        <w:ind w:right="156"/>
      </w:pPr>
      <w:r>
        <w:rPr/>
        <w:t>This Notice is to advise that amendments to the Primary Industries Levies and Charges Collection (Forest and Wood Products) Regulations (the Regulations) have been approved which will increase the domestic levy rates on certain forest products.</w:t>
      </w:r>
    </w:p>
    <w:p>
      <w:pPr>
        <w:pStyle w:val="BodyText"/>
        <w:spacing w:before="6"/>
        <w:ind w:left="0"/>
        <w:rPr>
          <w:sz w:val="16"/>
        </w:rPr>
      </w:pPr>
    </w:p>
    <w:p>
      <w:pPr>
        <w:pStyle w:val="BodyText"/>
        <w:spacing w:line="237" w:lineRule="auto"/>
        <w:ind w:right="379"/>
      </w:pPr>
      <w:r>
        <w:rPr/>
        <w:t>With respect to imported forest products, sub-section 6(1) of the Forest Industries Research Import Charge Act 1993 links levy rates on imported forest products proportionally to rates levied on domestically produced equivalents through the use of class conversion factors without alteration of those conversion factors.</w:t>
      </w:r>
    </w:p>
    <w:p>
      <w:pPr>
        <w:pStyle w:val="BodyText"/>
        <w:spacing w:before="4"/>
        <w:ind w:left="0"/>
        <w:rPr>
          <w:sz w:val="16"/>
        </w:rPr>
      </w:pPr>
    </w:p>
    <w:p>
      <w:pPr>
        <w:pStyle w:val="BodyText"/>
        <w:spacing w:line="446" w:lineRule="auto"/>
        <w:ind w:right="2087"/>
      </w:pPr>
      <w:r>
        <w:rPr/>
        <w:t>As a result of increasing levy rates on certain domestic classes of forest products there will be a proportionate increase in rates levied on imported equivalents. The rates listed in the Attachment will take effect on </w:t>
      </w:r>
      <w:r>
        <w:rPr>
          <w:b/>
        </w:rPr>
        <w:t>1 August 1997</w:t>
      </w:r>
      <w:r>
        <w:rPr/>
        <w:t>.</w:t>
      </w:r>
    </w:p>
    <w:p>
      <w:pPr>
        <w:pStyle w:val="BodyText"/>
        <w:spacing w:line="237" w:lineRule="auto" w:before="1"/>
        <w:ind w:right="641"/>
      </w:pPr>
      <w:r>
        <w:rPr/>
        <w:t>In addition, the Regulations provide that the forest industries levy or charge is not payable if the total amount of levy or charge that a producer is liable to pay is less than (a specific threshold amount) in a levy year. The regulations have been amended to increase the specific threshold amount from $75 to $330.</w:t>
      </w:r>
    </w:p>
    <w:p>
      <w:pPr>
        <w:pStyle w:val="BodyText"/>
        <w:spacing w:before="3"/>
        <w:ind w:left="0"/>
        <w:rPr>
          <w:sz w:val="16"/>
        </w:rPr>
      </w:pPr>
    </w:p>
    <w:p>
      <w:pPr>
        <w:pStyle w:val="BodyText"/>
      </w:pPr>
      <w:r>
        <w:rPr/>
        <w:t>Queries in relation to the levy should be directed to </w:t>
      </w:r>
      <w:r>
        <w:rPr>
          <w:b/>
        </w:rPr>
        <w:t>Mr Charles Hausknecht</w:t>
      </w:r>
      <w:r>
        <w:rPr/>
        <w:t>, Department of Primary Industries and Energy, Forest Branch on 06 272 4464.</w:t>
      </w:r>
    </w:p>
    <w:p>
      <w:pPr>
        <w:pStyle w:val="BodyText"/>
        <w:spacing w:before="4"/>
        <w:ind w:left="0"/>
        <w:rPr>
          <w:sz w:val="16"/>
        </w:rPr>
      </w:pPr>
    </w:p>
    <w:p>
      <w:pPr>
        <w:pStyle w:val="BodyText"/>
        <w:spacing w:line="217" w:lineRule="exact"/>
      </w:pPr>
      <w:r>
        <w:rPr/>
        <w:t>S. Caligari</w:t>
      </w:r>
    </w:p>
    <w:p>
      <w:pPr>
        <w:pStyle w:val="BodyText"/>
        <w:spacing w:line="237" w:lineRule="auto" w:before="1"/>
        <w:ind w:right="13875"/>
      </w:pPr>
      <w:r>
        <w:rPr/>
        <w:t>A/g National </w:t>
      </w:r>
      <w:r>
        <w:rPr>
          <w:spacing w:val="-3"/>
        </w:rPr>
        <w:t>Manager </w:t>
      </w:r>
      <w:r>
        <w:rPr/>
        <w:t>Cargo</w:t>
      </w:r>
      <w:r>
        <w:rPr>
          <w:spacing w:val="-2"/>
        </w:rPr>
        <w:t> </w:t>
      </w:r>
      <w:r>
        <w:rPr/>
        <w:t>Facilitation</w:t>
      </w:r>
    </w:p>
    <w:p>
      <w:pPr>
        <w:pStyle w:val="BodyText"/>
        <w:spacing w:line="237" w:lineRule="auto"/>
        <w:ind w:right="12852"/>
      </w:pPr>
      <w:r>
        <w:rPr/>
        <w:t>for CHIEF EXECUTIVE </w:t>
      </w:r>
      <w:r>
        <w:rPr>
          <w:spacing w:val="-3"/>
        </w:rPr>
        <w:t>OFFICER </w:t>
      </w:r>
      <w:r>
        <w:rPr/>
        <w:t>CANBERRA</w:t>
      </w:r>
      <w:r>
        <w:rPr>
          <w:spacing w:val="-2"/>
        </w:rPr>
        <w:t> </w:t>
      </w:r>
      <w:r>
        <w:rPr/>
        <w:t>ACT</w:t>
      </w:r>
    </w:p>
    <w:p>
      <w:pPr>
        <w:pStyle w:val="BodyText"/>
        <w:spacing w:before="4"/>
        <w:ind w:left="0"/>
        <w:rPr>
          <w:sz w:val="16"/>
        </w:rPr>
      </w:pPr>
    </w:p>
    <w:p>
      <w:pPr>
        <w:pStyle w:val="BodyText"/>
      </w:pPr>
      <w:r>
        <w:rPr/>
        <w:t>24 July 1997</w:t>
      </w:r>
    </w:p>
    <w:p>
      <w:pPr>
        <w:pStyle w:val="BodyText"/>
        <w:spacing w:before="3"/>
        <w:ind w:left="0"/>
        <w:rPr>
          <w:sz w:val="16"/>
        </w:rPr>
      </w:pPr>
    </w:p>
    <w:p>
      <w:pPr>
        <w:pStyle w:val="BodyText"/>
        <w:spacing w:line="446" w:lineRule="auto"/>
        <w:ind w:right="12852"/>
      </w:pPr>
      <w:r>
        <w:rPr/>
        <w:t>Cargo Facilitation (C97/01178) Attachment to ACN 97/65</w:t>
      </w:r>
    </w:p>
    <w:p>
      <w:pPr>
        <w:spacing w:line="217" w:lineRule="exact" w:before="0"/>
        <w:ind w:left="108" w:right="0" w:firstLine="0"/>
        <w:jc w:val="left"/>
        <w:rPr>
          <w:b/>
          <w:sz w:val="19"/>
        </w:rPr>
      </w:pPr>
      <w:r>
        <w:rPr/>
        <w:pict>
          <v:rect style="position:absolute;margin-left:34.411362pt;margin-top:17.651995pt;width:775.177289pt;height:.67642pt;mso-position-horizontal-relative:page;mso-position-vertical-relative:paragraph;z-index:-15728640;mso-wrap-distance-left:0;mso-wrap-distance-right:0" filled="true" fillcolor="#ededed" stroked="false">
            <v:fill type="solid"/>
            <w10:wrap type="topAndBottom"/>
          </v:rect>
        </w:pict>
      </w:r>
      <w:r>
        <w:rPr>
          <w:sz w:val="19"/>
        </w:rPr>
        <w:t>The rates listed below will take effect as of </w:t>
      </w:r>
      <w:r>
        <w:rPr>
          <w:b/>
          <w:sz w:val="19"/>
        </w:rPr>
        <w:t>1 August 1997:</w:t>
      </w:r>
    </w:p>
    <w:p>
      <w:pPr>
        <w:pStyle w:val="BodyText"/>
        <w:spacing w:before="10" w:after="1"/>
        <w:ind w:left="0"/>
        <w:rPr>
          <w:b/>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30"/>
        <w:gridCol w:w="9497"/>
        <w:gridCol w:w="1258"/>
        <w:gridCol w:w="1163"/>
        <w:gridCol w:w="1407"/>
        <w:gridCol w:w="1137"/>
      </w:tblGrid>
      <w:tr>
        <w:trPr>
          <w:trHeight w:val="1459" w:hRule="atLeast"/>
        </w:trPr>
        <w:tc>
          <w:tcPr>
            <w:tcW w:w="1130" w:type="dxa"/>
            <w:tcBorders>
              <w:left w:val="nil"/>
            </w:tcBorders>
          </w:tcPr>
          <w:p>
            <w:pPr>
              <w:pStyle w:val="TableParagraph"/>
              <w:spacing w:before="91"/>
              <w:ind w:left="101"/>
              <w:rPr>
                <w:b/>
                <w:sz w:val="19"/>
              </w:rPr>
            </w:pPr>
            <w:r>
              <w:rPr>
                <w:b/>
                <w:color w:val="202020"/>
                <w:sz w:val="19"/>
              </w:rPr>
              <w:t>TariffCode</w:t>
            </w:r>
          </w:p>
        </w:tc>
        <w:tc>
          <w:tcPr>
            <w:tcW w:w="9497" w:type="dxa"/>
          </w:tcPr>
          <w:p>
            <w:pPr>
              <w:pStyle w:val="TableParagraph"/>
              <w:spacing w:before="91"/>
              <w:ind w:left="100"/>
              <w:rPr>
                <w:b/>
                <w:sz w:val="19"/>
              </w:rPr>
            </w:pPr>
            <w:r>
              <w:rPr>
                <w:b/>
                <w:color w:val="202020"/>
                <w:sz w:val="19"/>
              </w:rPr>
              <w:t>Tariff Classification</w:t>
            </w:r>
          </w:p>
        </w:tc>
        <w:tc>
          <w:tcPr>
            <w:tcW w:w="1258" w:type="dxa"/>
          </w:tcPr>
          <w:p>
            <w:pPr>
              <w:pStyle w:val="TableParagraph"/>
              <w:spacing w:line="237" w:lineRule="auto" w:before="93"/>
              <w:ind w:left="100"/>
              <w:rPr>
                <w:b/>
                <w:sz w:val="19"/>
              </w:rPr>
            </w:pPr>
            <w:r>
              <w:rPr>
                <w:b/>
                <w:color w:val="202020"/>
                <w:w w:val="95"/>
                <w:sz w:val="19"/>
              </w:rPr>
              <w:t>Conversion </w:t>
            </w:r>
            <w:r>
              <w:rPr>
                <w:b/>
                <w:color w:val="202020"/>
                <w:sz w:val="19"/>
              </w:rPr>
              <w:t>Factor</w:t>
            </w:r>
          </w:p>
        </w:tc>
        <w:tc>
          <w:tcPr>
            <w:tcW w:w="1163" w:type="dxa"/>
          </w:tcPr>
          <w:p>
            <w:pPr>
              <w:pStyle w:val="TableParagraph"/>
              <w:spacing w:line="237" w:lineRule="auto" w:before="93"/>
              <w:ind w:left="100" w:right="87"/>
              <w:jc w:val="both"/>
              <w:rPr>
                <w:b/>
                <w:sz w:val="19"/>
              </w:rPr>
            </w:pPr>
            <w:r>
              <w:rPr>
                <w:b/>
                <w:color w:val="202020"/>
                <w:sz w:val="19"/>
              </w:rPr>
              <w:t>Domestic Log Class </w:t>
            </w:r>
            <w:r>
              <w:rPr>
                <w:b/>
                <w:color w:val="202020"/>
                <w:w w:val="95"/>
                <w:sz w:val="19"/>
              </w:rPr>
              <w:t>Equivalent</w:t>
            </w:r>
          </w:p>
        </w:tc>
        <w:tc>
          <w:tcPr>
            <w:tcW w:w="1407" w:type="dxa"/>
          </w:tcPr>
          <w:p>
            <w:pPr>
              <w:pStyle w:val="TableParagraph"/>
              <w:spacing w:line="237" w:lineRule="auto" w:before="93"/>
              <w:ind w:left="100" w:right="23"/>
              <w:rPr>
                <w:b/>
                <w:sz w:val="19"/>
              </w:rPr>
            </w:pPr>
            <w:r>
              <w:rPr>
                <w:b/>
                <w:color w:val="202020"/>
                <w:w w:val="95"/>
                <w:sz w:val="19"/>
              </w:rPr>
              <w:t>Unprocessed </w:t>
            </w:r>
            <w:r>
              <w:rPr>
                <w:b/>
                <w:color w:val="202020"/>
                <w:sz w:val="19"/>
              </w:rPr>
              <w:t>Wood Domestic Levy Rate</w:t>
            </w:r>
          </w:p>
          <w:p>
            <w:pPr>
              <w:pStyle w:val="TableParagraph"/>
              <w:spacing w:line="217" w:lineRule="exact"/>
              <w:ind w:left="100"/>
              <w:rPr>
                <w:b/>
                <w:sz w:val="19"/>
              </w:rPr>
            </w:pPr>
            <w:r>
              <w:rPr>
                <w:b/>
                <w:color w:val="202020"/>
                <w:sz w:val="19"/>
              </w:rPr>
              <w:t>$/M</w:t>
            </w:r>
          </w:p>
        </w:tc>
        <w:tc>
          <w:tcPr>
            <w:tcW w:w="1137" w:type="dxa"/>
            <w:tcBorders>
              <w:right w:val="nil"/>
            </w:tcBorders>
          </w:tcPr>
          <w:p>
            <w:pPr>
              <w:pStyle w:val="TableParagraph"/>
              <w:spacing w:line="237" w:lineRule="auto" w:before="93"/>
              <w:ind w:left="100"/>
              <w:rPr>
                <w:b/>
                <w:sz w:val="19"/>
              </w:rPr>
            </w:pPr>
            <w:r>
              <w:rPr>
                <w:b/>
                <w:color w:val="202020"/>
                <w:w w:val="95"/>
                <w:sz w:val="19"/>
              </w:rPr>
              <w:t>Processed </w:t>
            </w:r>
            <w:r>
              <w:rPr>
                <w:b/>
                <w:color w:val="202020"/>
                <w:sz w:val="19"/>
              </w:rPr>
              <w:t>Wood Import Charge</w:t>
            </w:r>
          </w:p>
          <w:p>
            <w:pPr>
              <w:pStyle w:val="TableParagraph"/>
              <w:spacing w:line="217" w:lineRule="exact"/>
              <w:ind w:left="100"/>
              <w:rPr>
                <w:b/>
                <w:sz w:val="19"/>
              </w:rPr>
            </w:pPr>
            <w:r>
              <w:rPr>
                <w:b/>
                <w:color w:val="202020"/>
                <w:sz w:val="19"/>
              </w:rPr>
              <w:t>$/M</w:t>
            </w:r>
          </w:p>
        </w:tc>
      </w:tr>
      <w:tr>
        <w:trPr>
          <w:trHeight w:val="593" w:hRule="atLeast"/>
        </w:trPr>
        <w:tc>
          <w:tcPr>
            <w:tcW w:w="1130" w:type="dxa"/>
            <w:tcBorders>
              <w:left w:val="nil"/>
            </w:tcBorders>
          </w:tcPr>
          <w:p>
            <w:pPr>
              <w:pStyle w:val="TableParagraph"/>
              <w:rPr>
                <w:rFonts w:ascii="Times New Roman"/>
                <w:sz w:val="18"/>
              </w:rPr>
            </w:pPr>
          </w:p>
        </w:tc>
        <w:tc>
          <w:tcPr>
            <w:tcW w:w="9497" w:type="dxa"/>
          </w:tcPr>
          <w:p>
            <w:pPr>
              <w:pStyle w:val="TableParagraph"/>
              <w:rPr>
                <w:rFonts w:ascii="Times New Roman"/>
                <w:sz w:val="18"/>
              </w:rPr>
            </w:pPr>
          </w:p>
        </w:tc>
        <w:tc>
          <w:tcPr>
            <w:tcW w:w="1258" w:type="dxa"/>
          </w:tcPr>
          <w:p>
            <w:pPr>
              <w:pStyle w:val="TableParagraph"/>
              <w:spacing w:before="91"/>
              <w:ind w:left="100"/>
              <w:rPr>
                <w:sz w:val="19"/>
              </w:rPr>
            </w:pPr>
            <w:r>
              <w:rPr>
                <w:color w:val="202020"/>
                <w:sz w:val="19"/>
              </w:rPr>
              <w:t>(A)</w:t>
            </w:r>
          </w:p>
        </w:tc>
        <w:tc>
          <w:tcPr>
            <w:tcW w:w="1163" w:type="dxa"/>
          </w:tcPr>
          <w:p>
            <w:pPr>
              <w:pStyle w:val="TableParagraph"/>
              <w:rPr>
                <w:rFonts w:ascii="Times New Roman"/>
                <w:sz w:val="18"/>
              </w:rPr>
            </w:pPr>
          </w:p>
        </w:tc>
        <w:tc>
          <w:tcPr>
            <w:tcW w:w="1407" w:type="dxa"/>
          </w:tcPr>
          <w:p>
            <w:pPr>
              <w:pStyle w:val="TableParagraph"/>
              <w:spacing w:before="91"/>
              <w:ind w:left="100"/>
              <w:rPr>
                <w:sz w:val="19"/>
              </w:rPr>
            </w:pPr>
            <w:r>
              <w:rPr>
                <w:color w:val="202020"/>
                <w:sz w:val="19"/>
              </w:rPr>
              <w:t>(B)</w:t>
            </w:r>
          </w:p>
        </w:tc>
        <w:tc>
          <w:tcPr>
            <w:tcW w:w="1137" w:type="dxa"/>
            <w:tcBorders>
              <w:right w:val="nil"/>
            </w:tcBorders>
          </w:tcPr>
          <w:p>
            <w:pPr>
              <w:pStyle w:val="TableParagraph"/>
              <w:spacing w:before="91"/>
              <w:ind w:left="100"/>
              <w:rPr>
                <w:sz w:val="19"/>
              </w:rPr>
            </w:pPr>
            <w:r>
              <w:rPr>
                <w:color w:val="202020"/>
                <w:sz w:val="19"/>
              </w:rPr>
              <w:t>(C)</w:t>
            </w:r>
          </w:p>
        </w:tc>
      </w:tr>
      <w:tr>
        <w:trPr>
          <w:trHeight w:val="187" w:hRule="atLeast"/>
        </w:trPr>
        <w:tc>
          <w:tcPr>
            <w:tcW w:w="1130" w:type="dxa"/>
            <w:tcBorders>
              <w:left w:val="nil"/>
            </w:tcBorders>
          </w:tcPr>
          <w:p>
            <w:pPr>
              <w:pStyle w:val="TableParagraph"/>
              <w:rPr>
                <w:rFonts w:ascii="Times New Roman"/>
                <w:sz w:val="12"/>
              </w:rPr>
            </w:pPr>
          </w:p>
        </w:tc>
        <w:tc>
          <w:tcPr>
            <w:tcW w:w="9497" w:type="dxa"/>
          </w:tcPr>
          <w:p>
            <w:pPr>
              <w:pStyle w:val="TableParagraph"/>
              <w:rPr>
                <w:rFonts w:ascii="Times New Roman"/>
                <w:sz w:val="12"/>
              </w:rPr>
            </w:pPr>
          </w:p>
        </w:tc>
        <w:tc>
          <w:tcPr>
            <w:tcW w:w="1258" w:type="dxa"/>
          </w:tcPr>
          <w:p>
            <w:pPr>
              <w:pStyle w:val="TableParagraph"/>
              <w:rPr>
                <w:rFonts w:ascii="Times New Roman"/>
                <w:sz w:val="12"/>
              </w:rPr>
            </w:pPr>
          </w:p>
        </w:tc>
        <w:tc>
          <w:tcPr>
            <w:tcW w:w="1163" w:type="dxa"/>
          </w:tcPr>
          <w:p>
            <w:pPr>
              <w:pStyle w:val="TableParagraph"/>
              <w:rPr>
                <w:rFonts w:ascii="Times New Roman"/>
                <w:sz w:val="12"/>
              </w:rPr>
            </w:pPr>
          </w:p>
        </w:tc>
        <w:tc>
          <w:tcPr>
            <w:tcW w:w="1407" w:type="dxa"/>
          </w:tcPr>
          <w:p>
            <w:pPr>
              <w:pStyle w:val="TableParagraph"/>
              <w:rPr>
                <w:rFonts w:ascii="Times New Roman"/>
                <w:sz w:val="12"/>
              </w:rPr>
            </w:pPr>
          </w:p>
        </w:tc>
        <w:tc>
          <w:tcPr>
            <w:tcW w:w="1137" w:type="dxa"/>
            <w:tcBorders>
              <w:right w:val="nil"/>
            </w:tcBorders>
          </w:tcPr>
          <w:p>
            <w:pPr>
              <w:pStyle w:val="TableParagraph"/>
              <w:rPr>
                <w:rFonts w:ascii="Times New Roman"/>
                <w:sz w:val="12"/>
              </w:rPr>
            </w:pPr>
          </w:p>
        </w:tc>
      </w:tr>
      <w:tr>
        <w:trPr>
          <w:trHeight w:val="312" w:hRule="atLeast"/>
        </w:trPr>
        <w:tc>
          <w:tcPr>
            <w:tcW w:w="1130" w:type="dxa"/>
            <w:tcBorders>
              <w:left w:val="nil"/>
              <w:bottom w:val="nil"/>
            </w:tcBorders>
          </w:tcPr>
          <w:p>
            <w:pPr>
              <w:pStyle w:val="TableParagraph"/>
              <w:spacing w:line="201" w:lineRule="exact" w:before="91"/>
              <w:ind w:left="101"/>
              <w:rPr>
                <w:sz w:val="19"/>
              </w:rPr>
            </w:pPr>
            <w:r>
              <w:rPr>
                <w:color w:val="202020"/>
                <w:sz w:val="19"/>
              </w:rPr>
              <w:t>4403</w:t>
            </w:r>
          </w:p>
        </w:tc>
        <w:tc>
          <w:tcPr>
            <w:tcW w:w="9497" w:type="dxa"/>
            <w:tcBorders>
              <w:bottom w:val="nil"/>
            </w:tcBorders>
          </w:tcPr>
          <w:p>
            <w:pPr>
              <w:pStyle w:val="TableParagraph"/>
              <w:spacing w:line="201" w:lineRule="exact" w:before="91"/>
              <w:ind w:left="100"/>
              <w:rPr>
                <w:sz w:val="19"/>
              </w:rPr>
            </w:pPr>
            <w:r>
              <w:rPr>
                <w:color w:val="202020"/>
                <w:sz w:val="19"/>
              </w:rPr>
              <w:t>Wood in the rough, whether or not stripped of bark or</w:t>
            </w:r>
          </w:p>
        </w:tc>
        <w:tc>
          <w:tcPr>
            <w:tcW w:w="1258" w:type="dxa"/>
            <w:tcBorders>
              <w:bottom w:val="nil"/>
            </w:tcBorders>
          </w:tcPr>
          <w:p>
            <w:pPr>
              <w:pStyle w:val="TableParagraph"/>
              <w:spacing w:line="201" w:lineRule="exact" w:before="91"/>
              <w:ind w:left="100"/>
              <w:rPr>
                <w:sz w:val="19"/>
              </w:rPr>
            </w:pPr>
            <w:r>
              <w:rPr>
                <w:color w:val="202020"/>
                <w:sz w:val="19"/>
              </w:rPr>
              <w:t>2.0</w:t>
            </w:r>
          </w:p>
        </w:tc>
        <w:tc>
          <w:tcPr>
            <w:tcW w:w="1163" w:type="dxa"/>
            <w:tcBorders>
              <w:bottom w:val="nil"/>
            </w:tcBorders>
          </w:tcPr>
          <w:p>
            <w:pPr>
              <w:pStyle w:val="TableParagraph"/>
              <w:spacing w:line="201" w:lineRule="exact" w:before="91"/>
              <w:ind w:left="100"/>
              <w:rPr>
                <w:sz w:val="19"/>
              </w:rPr>
            </w:pPr>
            <w:r>
              <w:rPr>
                <w:color w:val="202020"/>
                <w:sz w:val="19"/>
              </w:rPr>
              <w:t>Softwood</w:t>
            </w:r>
          </w:p>
        </w:tc>
        <w:tc>
          <w:tcPr>
            <w:tcW w:w="1407" w:type="dxa"/>
            <w:tcBorders>
              <w:bottom w:val="nil"/>
            </w:tcBorders>
          </w:tcPr>
          <w:p>
            <w:pPr>
              <w:pStyle w:val="TableParagraph"/>
              <w:spacing w:line="201" w:lineRule="exact" w:before="91"/>
              <w:ind w:left="100"/>
              <w:rPr>
                <w:sz w:val="19"/>
              </w:rPr>
            </w:pPr>
            <w:r>
              <w:rPr>
                <w:color w:val="202020"/>
                <w:sz w:val="19"/>
              </w:rPr>
              <w:t>0.29</w:t>
            </w:r>
          </w:p>
        </w:tc>
        <w:tc>
          <w:tcPr>
            <w:tcW w:w="1137" w:type="dxa"/>
            <w:tcBorders>
              <w:bottom w:val="nil"/>
              <w:right w:val="nil"/>
            </w:tcBorders>
          </w:tcPr>
          <w:p>
            <w:pPr>
              <w:pStyle w:val="TableParagraph"/>
              <w:spacing w:line="201" w:lineRule="exact" w:before="91"/>
              <w:ind w:left="100"/>
              <w:rPr>
                <w:sz w:val="19"/>
              </w:rPr>
            </w:pPr>
            <w:r>
              <w:rPr>
                <w:color w:val="202020"/>
                <w:sz w:val="19"/>
              </w:rPr>
              <w:t>0.58</w:t>
            </w:r>
          </w:p>
        </w:tc>
      </w:tr>
      <w:tr>
        <w:trPr>
          <w:trHeight w:val="395" w:hRule="atLeast"/>
        </w:trPr>
        <w:tc>
          <w:tcPr>
            <w:tcW w:w="1130" w:type="dxa"/>
            <w:tcBorders>
              <w:top w:val="nil"/>
              <w:left w:val="nil"/>
              <w:bottom w:val="nil"/>
            </w:tcBorders>
          </w:tcPr>
          <w:p>
            <w:pPr>
              <w:pStyle w:val="TableParagraph"/>
              <w:rPr>
                <w:rFonts w:ascii="Times New Roman"/>
                <w:sz w:val="18"/>
              </w:rPr>
            </w:pPr>
          </w:p>
        </w:tc>
        <w:tc>
          <w:tcPr>
            <w:tcW w:w="9497" w:type="dxa"/>
            <w:tcBorders>
              <w:top w:val="nil"/>
              <w:bottom w:val="nil"/>
            </w:tcBorders>
          </w:tcPr>
          <w:p>
            <w:pPr>
              <w:pStyle w:val="TableParagraph"/>
              <w:spacing w:line="214" w:lineRule="exact"/>
              <w:ind w:left="100"/>
              <w:rPr>
                <w:sz w:val="19"/>
              </w:rPr>
            </w:pPr>
            <w:r>
              <w:rPr>
                <w:color w:val="202020"/>
                <w:sz w:val="19"/>
              </w:rPr>
              <w:t>sapwood, or roughly squared</w:t>
            </w:r>
          </w:p>
        </w:tc>
        <w:tc>
          <w:tcPr>
            <w:tcW w:w="1258" w:type="dxa"/>
            <w:tcBorders>
              <w:top w:val="nil"/>
              <w:bottom w:val="nil"/>
            </w:tcBorders>
          </w:tcPr>
          <w:p>
            <w:pPr>
              <w:pStyle w:val="TableParagraph"/>
              <w:rPr>
                <w:rFonts w:ascii="Times New Roman"/>
                <w:sz w:val="18"/>
              </w:rPr>
            </w:pPr>
          </w:p>
        </w:tc>
        <w:tc>
          <w:tcPr>
            <w:tcW w:w="1163" w:type="dxa"/>
            <w:tcBorders>
              <w:top w:val="nil"/>
              <w:bottom w:val="nil"/>
            </w:tcBorders>
          </w:tcPr>
          <w:p>
            <w:pPr>
              <w:pStyle w:val="TableParagraph"/>
              <w:spacing w:line="214" w:lineRule="exact"/>
              <w:ind w:left="100"/>
              <w:rPr>
                <w:sz w:val="19"/>
              </w:rPr>
            </w:pPr>
            <w:r>
              <w:rPr>
                <w:color w:val="202020"/>
                <w:sz w:val="19"/>
              </w:rPr>
              <w:t>sawlog</w:t>
            </w:r>
          </w:p>
        </w:tc>
        <w:tc>
          <w:tcPr>
            <w:tcW w:w="1407" w:type="dxa"/>
            <w:tcBorders>
              <w:top w:val="nil"/>
              <w:bottom w:val="nil"/>
            </w:tcBorders>
          </w:tcPr>
          <w:p>
            <w:pPr>
              <w:pStyle w:val="TableParagraph"/>
              <w:spacing w:before="1"/>
              <w:rPr>
                <w:b/>
                <w:sz w:val="16"/>
              </w:rPr>
            </w:pPr>
          </w:p>
          <w:p>
            <w:pPr>
              <w:pStyle w:val="TableParagraph"/>
              <w:spacing w:line="190" w:lineRule="exact"/>
              <w:ind w:left="100"/>
              <w:rPr>
                <w:sz w:val="19"/>
              </w:rPr>
            </w:pPr>
            <w:r>
              <w:rPr>
                <w:color w:val="202020"/>
                <w:sz w:val="19"/>
              </w:rPr>
              <w:t>0.22</w:t>
            </w:r>
          </w:p>
        </w:tc>
        <w:tc>
          <w:tcPr>
            <w:tcW w:w="1137" w:type="dxa"/>
            <w:tcBorders>
              <w:top w:val="nil"/>
              <w:bottom w:val="nil"/>
              <w:right w:val="nil"/>
            </w:tcBorders>
          </w:tcPr>
          <w:p>
            <w:pPr>
              <w:pStyle w:val="TableParagraph"/>
              <w:spacing w:before="1"/>
              <w:rPr>
                <w:b/>
                <w:sz w:val="16"/>
              </w:rPr>
            </w:pPr>
          </w:p>
          <w:p>
            <w:pPr>
              <w:pStyle w:val="TableParagraph"/>
              <w:spacing w:line="190" w:lineRule="exact"/>
              <w:ind w:left="100"/>
              <w:rPr>
                <w:sz w:val="19"/>
              </w:rPr>
            </w:pPr>
            <w:r>
              <w:rPr>
                <w:color w:val="202020"/>
                <w:sz w:val="19"/>
              </w:rPr>
              <w:t>0.44</w:t>
            </w:r>
          </w:p>
        </w:tc>
      </w:tr>
    </w:tbl>
    <w:p>
      <w:pPr>
        <w:spacing w:after="0" w:line="190" w:lineRule="exact"/>
        <w:rPr>
          <w:sz w:val="19"/>
        </w:rPr>
        <w:sectPr>
          <w:type w:val="continuous"/>
          <w:pgSz w:w="16840" w:h="11900" w:orient="landscape"/>
          <w:pgMar w:top="6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30"/>
        <w:gridCol w:w="9497"/>
        <w:gridCol w:w="1258"/>
        <w:gridCol w:w="1163"/>
        <w:gridCol w:w="1407"/>
        <w:gridCol w:w="1137"/>
      </w:tblGrid>
      <w:tr>
        <w:trPr>
          <w:trHeight w:val="526" w:hRule="atLeast"/>
        </w:trPr>
        <w:tc>
          <w:tcPr>
            <w:tcW w:w="1130" w:type="dxa"/>
            <w:tcBorders>
              <w:top w:val="nil"/>
              <w:left w:val="nil"/>
            </w:tcBorders>
          </w:tcPr>
          <w:p>
            <w:pPr>
              <w:pStyle w:val="TableParagraph"/>
              <w:rPr>
                <w:rFonts w:ascii="Times New Roman"/>
                <w:sz w:val="18"/>
              </w:rPr>
            </w:pPr>
          </w:p>
        </w:tc>
        <w:tc>
          <w:tcPr>
            <w:tcW w:w="9497" w:type="dxa"/>
            <w:tcBorders>
              <w:top w:val="nil"/>
            </w:tcBorders>
          </w:tcPr>
          <w:p>
            <w:pPr>
              <w:pStyle w:val="TableParagraph"/>
              <w:rPr>
                <w:rFonts w:ascii="Times New Roman"/>
                <w:sz w:val="18"/>
              </w:rPr>
            </w:pPr>
          </w:p>
        </w:tc>
        <w:tc>
          <w:tcPr>
            <w:tcW w:w="1258" w:type="dxa"/>
            <w:tcBorders>
              <w:top w:val="nil"/>
            </w:tcBorders>
          </w:tcPr>
          <w:p>
            <w:pPr>
              <w:pStyle w:val="TableParagraph"/>
              <w:rPr>
                <w:rFonts w:ascii="Times New Roman"/>
                <w:sz w:val="18"/>
              </w:rPr>
            </w:pPr>
          </w:p>
        </w:tc>
        <w:tc>
          <w:tcPr>
            <w:tcW w:w="1163" w:type="dxa"/>
            <w:tcBorders>
              <w:top w:val="nil"/>
            </w:tcBorders>
          </w:tcPr>
          <w:p>
            <w:pPr>
              <w:pStyle w:val="TableParagraph"/>
              <w:spacing w:line="237" w:lineRule="auto"/>
              <w:ind w:left="100"/>
              <w:rPr>
                <w:sz w:val="19"/>
              </w:rPr>
            </w:pPr>
            <w:r>
              <w:rPr>
                <w:color w:val="202020"/>
                <w:w w:val="95"/>
                <w:sz w:val="19"/>
              </w:rPr>
              <w:t>Hardwood </w:t>
            </w:r>
            <w:r>
              <w:rPr>
                <w:color w:val="202020"/>
                <w:sz w:val="19"/>
              </w:rPr>
              <w:t>sawlog</w:t>
            </w:r>
          </w:p>
        </w:tc>
        <w:tc>
          <w:tcPr>
            <w:tcW w:w="1407" w:type="dxa"/>
            <w:tcBorders>
              <w:top w:val="nil"/>
            </w:tcBorders>
          </w:tcPr>
          <w:p>
            <w:pPr>
              <w:pStyle w:val="TableParagraph"/>
              <w:rPr>
                <w:rFonts w:ascii="Times New Roman"/>
                <w:sz w:val="18"/>
              </w:rPr>
            </w:pPr>
          </w:p>
        </w:tc>
        <w:tc>
          <w:tcPr>
            <w:tcW w:w="1137" w:type="dxa"/>
            <w:tcBorders>
              <w:top w:val="nil"/>
              <w:right w:val="nil"/>
            </w:tcBorders>
          </w:tcPr>
          <w:p>
            <w:pPr>
              <w:pStyle w:val="TableParagraph"/>
              <w:rPr>
                <w:rFonts w:ascii="Times New Roman"/>
                <w:sz w:val="18"/>
              </w:rPr>
            </w:pPr>
          </w:p>
        </w:tc>
      </w:tr>
      <w:tr>
        <w:trPr>
          <w:trHeight w:val="187" w:hRule="atLeast"/>
        </w:trPr>
        <w:tc>
          <w:tcPr>
            <w:tcW w:w="1130" w:type="dxa"/>
            <w:tcBorders>
              <w:left w:val="nil"/>
            </w:tcBorders>
          </w:tcPr>
          <w:p>
            <w:pPr>
              <w:pStyle w:val="TableParagraph"/>
              <w:rPr>
                <w:rFonts w:ascii="Times New Roman"/>
                <w:sz w:val="12"/>
              </w:rPr>
            </w:pPr>
          </w:p>
        </w:tc>
        <w:tc>
          <w:tcPr>
            <w:tcW w:w="9497" w:type="dxa"/>
          </w:tcPr>
          <w:p>
            <w:pPr>
              <w:pStyle w:val="TableParagraph"/>
              <w:rPr>
                <w:rFonts w:ascii="Times New Roman"/>
                <w:sz w:val="12"/>
              </w:rPr>
            </w:pPr>
          </w:p>
        </w:tc>
        <w:tc>
          <w:tcPr>
            <w:tcW w:w="1258" w:type="dxa"/>
          </w:tcPr>
          <w:p>
            <w:pPr>
              <w:pStyle w:val="TableParagraph"/>
              <w:rPr>
                <w:rFonts w:ascii="Times New Roman"/>
                <w:sz w:val="12"/>
              </w:rPr>
            </w:pPr>
          </w:p>
        </w:tc>
        <w:tc>
          <w:tcPr>
            <w:tcW w:w="1163" w:type="dxa"/>
          </w:tcPr>
          <w:p>
            <w:pPr>
              <w:pStyle w:val="TableParagraph"/>
              <w:rPr>
                <w:rFonts w:ascii="Times New Roman"/>
                <w:sz w:val="12"/>
              </w:rPr>
            </w:pPr>
          </w:p>
        </w:tc>
        <w:tc>
          <w:tcPr>
            <w:tcW w:w="1407" w:type="dxa"/>
          </w:tcPr>
          <w:p>
            <w:pPr>
              <w:pStyle w:val="TableParagraph"/>
              <w:rPr>
                <w:rFonts w:ascii="Times New Roman"/>
                <w:sz w:val="12"/>
              </w:rPr>
            </w:pPr>
          </w:p>
        </w:tc>
        <w:tc>
          <w:tcPr>
            <w:tcW w:w="1137" w:type="dxa"/>
            <w:tcBorders>
              <w:right w:val="nil"/>
            </w:tcBorders>
          </w:tcPr>
          <w:p>
            <w:pPr>
              <w:pStyle w:val="TableParagraph"/>
              <w:rPr>
                <w:rFonts w:ascii="Times New Roman"/>
                <w:sz w:val="12"/>
              </w:rPr>
            </w:pPr>
          </w:p>
        </w:tc>
      </w:tr>
      <w:tr>
        <w:trPr>
          <w:trHeight w:val="718" w:hRule="atLeast"/>
        </w:trPr>
        <w:tc>
          <w:tcPr>
            <w:tcW w:w="1130" w:type="dxa"/>
            <w:tcBorders>
              <w:left w:val="nil"/>
              <w:bottom w:val="nil"/>
            </w:tcBorders>
          </w:tcPr>
          <w:p>
            <w:pPr>
              <w:pStyle w:val="TableParagraph"/>
              <w:spacing w:before="91"/>
              <w:ind w:left="101"/>
              <w:rPr>
                <w:sz w:val="19"/>
              </w:rPr>
            </w:pPr>
            <w:r>
              <w:rPr>
                <w:color w:val="202020"/>
                <w:sz w:val="19"/>
              </w:rPr>
              <w:t>4407</w:t>
            </w:r>
          </w:p>
        </w:tc>
        <w:tc>
          <w:tcPr>
            <w:tcW w:w="9497" w:type="dxa"/>
            <w:tcBorders>
              <w:bottom w:val="nil"/>
            </w:tcBorders>
          </w:tcPr>
          <w:p>
            <w:pPr>
              <w:pStyle w:val="TableParagraph"/>
              <w:spacing w:line="237" w:lineRule="auto" w:before="93"/>
              <w:ind w:left="100" w:right="117"/>
              <w:rPr>
                <w:sz w:val="19"/>
              </w:rPr>
            </w:pPr>
            <w:r>
              <w:rPr>
                <w:color w:val="202020"/>
                <w:sz w:val="19"/>
              </w:rPr>
              <w:t>Wood sawn or chipped chipped lengthwise, sliced or peeled, whether or not planed, sanded or finger jointed, of a thickness exceeding 6mm</w:t>
            </w:r>
          </w:p>
        </w:tc>
        <w:tc>
          <w:tcPr>
            <w:tcW w:w="1258" w:type="dxa"/>
            <w:tcBorders>
              <w:bottom w:val="nil"/>
            </w:tcBorders>
          </w:tcPr>
          <w:p>
            <w:pPr>
              <w:pStyle w:val="TableParagraph"/>
              <w:spacing w:before="91"/>
              <w:ind w:left="100"/>
              <w:rPr>
                <w:sz w:val="19"/>
              </w:rPr>
            </w:pPr>
            <w:r>
              <w:rPr>
                <w:color w:val="202020"/>
                <w:sz w:val="19"/>
              </w:rPr>
              <w:t>2.5</w:t>
            </w:r>
          </w:p>
        </w:tc>
        <w:tc>
          <w:tcPr>
            <w:tcW w:w="1163" w:type="dxa"/>
            <w:tcBorders>
              <w:bottom w:val="nil"/>
            </w:tcBorders>
          </w:tcPr>
          <w:p>
            <w:pPr>
              <w:pStyle w:val="TableParagraph"/>
              <w:spacing w:line="237" w:lineRule="auto" w:before="93"/>
              <w:ind w:left="100"/>
              <w:rPr>
                <w:sz w:val="19"/>
              </w:rPr>
            </w:pPr>
            <w:r>
              <w:rPr>
                <w:color w:val="202020"/>
                <w:w w:val="95"/>
                <w:sz w:val="19"/>
              </w:rPr>
              <w:t>Softwood </w:t>
            </w:r>
            <w:r>
              <w:rPr>
                <w:color w:val="202020"/>
                <w:sz w:val="19"/>
              </w:rPr>
              <w:t>sawlog</w:t>
            </w:r>
          </w:p>
        </w:tc>
        <w:tc>
          <w:tcPr>
            <w:tcW w:w="1407" w:type="dxa"/>
            <w:tcBorders>
              <w:bottom w:val="nil"/>
            </w:tcBorders>
          </w:tcPr>
          <w:p>
            <w:pPr>
              <w:pStyle w:val="TableParagraph"/>
              <w:spacing w:before="91"/>
              <w:ind w:left="100"/>
              <w:rPr>
                <w:sz w:val="19"/>
              </w:rPr>
            </w:pPr>
            <w:r>
              <w:rPr>
                <w:color w:val="202020"/>
                <w:sz w:val="19"/>
              </w:rPr>
              <w:t>0.29</w:t>
            </w:r>
          </w:p>
          <w:p>
            <w:pPr>
              <w:pStyle w:val="TableParagraph"/>
              <w:spacing w:before="4"/>
              <w:rPr>
                <w:b/>
                <w:sz w:val="16"/>
              </w:rPr>
            </w:pPr>
          </w:p>
          <w:p>
            <w:pPr>
              <w:pStyle w:val="TableParagraph"/>
              <w:spacing w:line="201" w:lineRule="exact"/>
              <w:ind w:left="100"/>
              <w:rPr>
                <w:sz w:val="19"/>
              </w:rPr>
            </w:pPr>
            <w:r>
              <w:rPr>
                <w:color w:val="202020"/>
                <w:sz w:val="19"/>
              </w:rPr>
              <w:t>0.22</w:t>
            </w:r>
          </w:p>
        </w:tc>
        <w:tc>
          <w:tcPr>
            <w:tcW w:w="1137" w:type="dxa"/>
            <w:tcBorders>
              <w:bottom w:val="nil"/>
              <w:right w:val="nil"/>
            </w:tcBorders>
          </w:tcPr>
          <w:p>
            <w:pPr>
              <w:pStyle w:val="TableParagraph"/>
              <w:spacing w:before="91"/>
              <w:ind w:left="100"/>
              <w:rPr>
                <w:sz w:val="19"/>
              </w:rPr>
            </w:pPr>
            <w:r>
              <w:rPr>
                <w:color w:val="202020"/>
                <w:sz w:val="19"/>
              </w:rPr>
              <w:t>0.72</w:t>
            </w:r>
          </w:p>
          <w:p>
            <w:pPr>
              <w:pStyle w:val="TableParagraph"/>
              <w:spacing w:before="4"/>
              <w:rPr>
                <w:b/>
                <w:sz w:val="16"/>
              </w:rPr>
            </w:pPr>
          </w:p>
          <w:p>
            <w:pPr>
              <w:pStyle w:val="TableParagraph"/>
              <w:spacing w:line="201" w:lineRule="exact"/>
              <w:ind w:left="100"/>
              <w:rPr>
                <w:sz w:val="19"/>
              </w:rPr>
            </w:pPr>
            <w:r>
              <w:rPr>
                <w:color w:val="202020"/>
                <w:sz w:val="19"/>
              </w:rPr>
              <w:t>0.55</w:t>
            </w:r>
          </w:p>
        </w:tc>
      </w:tr>
      <w:tr>
        <w:trPr>
          <w:trHeight w:val="524" w:hRule="atLeast"/>
        </w:trPr>
        <w:tc>
          <w:tcPr>
            <w:tcW w:w="1130" w:type="dxa"/>
            <w:tcBorders>
              <w:top w:val="nil"/>
              <w:left w:val="nil"/>
            </w:tcBorders>
          </w:tcPr>
          <w:p>
            <w:pPr>
              <w:pStyle w:val="TableParagraph"/>
              <w:rPr>
                <w:rFonts w:ascii="Times New Roman"/>
                <w:sz w:val="18"/>
              </w:rPr>
            </w:pPr>
          </w:p>
        </w:tc>
        <w:tc>
          <w:tcPr>
            <w:tcW w:w="9497" w:type="dxa"/>
            <w:tcBorders>
              <w:top w:val="nil"/>
            </w:tcBorders>
          </w:tcPr>
          <w:p>
            <w:pPr>
              <w:pStyle w:val="TableParagraph"/>
              <w:rPr>
                <w:rFonts w:ascii="Times New Roman"/>
                <w:sz w:val="18"/>
              </w:rPr>
            </w:pPr>
          </w:p>
        </w:tc>
        <w:tc>
          <w:tcPr>
            <w:tcW w:w="1258" w:type="dxa"/>
            <w:tcBorders>
              <w:top w:val="nil"/>
            </w:tcBorders>
          </w:tcPr>
          <w:p>
            <w:pPr>
              <w:pStyle w:val="TableParagraph"/>
              <w:rPr>
                <w:rFonts w:ascii="Times New Roman"/>
                <w:sz w:val="18"/>
              </w:rPr>
            </w:pPr>
          </w:p>
        </w:tc>
        <w:tc>
          <w:tcPr>
            <w:tcW w:w="1163" w:type="dxa"/>
            <w:tcBorders>
              <w:top w:val="nil"/>
            </w:tcBorders>
          </w:tcPr>
          <w:p>
            <w:pPr>
              <w:pStyle w:val="TableParagraph"/>
              <w:spacing w:line="237" w:lineRule="auto"/>
              <w:ind w:left="100"/>
              <w:rPr>
                <w:sz w:val="19"/>
              </w:rPr>
            </w:pPr>
            <w:r>
              <w:rPr>
                <w:color w:val="202020"/>
                <w:w w:val="95"/>
                <w:sz w:val="19"/>
              </w:rPr>
              <w:t>Hardwood </w:t>
            </w:r>
            <w:r>
              <w:rPr>
                <w:color w:val="202020"/>
                <w:sz w:val="19"/>
              </w:rPr>
              <w:t>sawlog</w:t>
            </w:r>
          </w:p>
        </w:tc>
        <w:tc>
          <w:tcPr>
            <w:tcW w:w="1407" w:type="dxa"/>
            <w:tcBorders>
              <w:top w:val="nil"/>
            </w:tcBorders>
          </w:tcPr>
          <w:p>
            <w:pPr>
              <w:pStyle w:val="TableParagraph"/>
              <w:rPr>
                <w:rFonts w:ascii="Times New Roman"/>
                <w:sz w:val="18"/>
              </w:rPr>
            </w:pPr>
          </w:p>
        </w:tc>
        <w:tc>
          <w:tcPr>
            <w:tcW w:w="1137" w:type="dxa"/>
            <w:tcBorders>
              <w:top w:val="nil"/>
              <w:right w:val="nil"/>
            </w:tcBorders>
          </w:tcPr>
          <w:p>
            <w:pPr>
              <w:pStyle w:val="TableParagraph"/>
              <w:rPr>
                <w:rFonts w:ascii="Times New Roman"/>
                <w:sz w:val="18"/>
              </w:rPr>
            </w:pPr>
          </w:p>
        </w:tc>
      </w:tr>
      <w:tr>
        <w:trPr>
          <w:trHeight w:val="187" w:hRule="atLeast"/>
        </w:trPr>
        <w:tc>
          <w:tcPr>
            <w:tcW w:w="1130" w:type="dxa"/>
            <w:tcBorders>
              <w:left w:val="nil"/>
            </w:tcBorders>
          </w:tcPr>
          <w:p>
            <w:pPr>
              <w:pStyle w:val="TableParagraph"/>
              <w:rPr>
                <w:rFonts w:ascii="Times New Roman"/>
                <w:sz w:val="12"/>
              </w:rPr>
            </w:pPr>
          </w:p>
        </w:tc>
        <w:tc>
          <w:tcPr>
            <w:tcW w:w="9497" w:type="dxa"/>
          </w:tcPr>
          <w:p>
            <w:pPr>
              <w:pStyle w:val="TableParagraph"/>
              <w:rPr>
                <w:rFonts w:ascii="Times New Roman"/>
                <w:sz w:val="12"/>
              </w:rPr>
            </w:pPr>
          </w:p>
        </w:tc>
        <w:tc>
          <w:tcPr>
            <w:tcW w:w="1258" w:type="dxa"/>
          </w:tcPr>
          <w:p>
            <w:pPr>
              <w:pStyle w:val="TableParagraph"/>
              <w:rPr>
                <w:rFonts w:ascii="Times New Roman"/>
                <w:sz w:val="12"/>
              </w:rPr>
            </w:pPr>
          </w:p>
        </w:tc>
        <w:tc>
          <w:tcPr>
            <w:tcW w:w="1163" w:type="dxa"/>
          </w:tcPr>
          <w:p>
            <w:pPr>
              <w:pStyle w:val="TableParagraph"/>
              <w:rPr>
                <w:rFonts w:ascii="Times New Roman"/>
                <w:sz w:val="12"/>
              </w:rPr>
            </w:pPr>
          </w:p>
        </w:tc>
        <w:tc>
          <w:tcPr>
            <w:tcW w:w="1407" w:type="dxa"/>
          </w:tcPr>
          <w:p>
            <w:pPr>
              <w:pStyle w:val="TableParagraph"/>
              <w:rPr>
                <w:rFonts w:ascii="Times New Roman"/>
                <w:sz w:val="12"/>
              </w:rPr>
            </w:pPr>
          </w:p>
        </w:tc>
        <w:tc>
          <w:tcPr>
            <w:tcW w:w="1137" w:type="dxa"/>
            <w:tcBorders>
              <w:right w:val="nil"/>
            </w:tcBorders>
          </w:tcPr>
          <w:p>
            <w:pPr>
              <w:pStyle w:val="TableParagraph"/>
              <w:rPr>
                <w:rFonts w:ascii="Times New Roman"/>
                <w:sz w:val="12"/>
              </w:rPr>
            </w:pPr>
          </w:p>
        </w:tc>
      </w:tr>
      <w:tr>
        <w:trPr>
          <w:trHeight w:val="1243" w:hRule="atLeast"/>
        </w:trPr>
        <w:tc>
          <w:tcPr>
            <w:tcW w:w="1130" w:type="dxa"/>
            <w:tcBorders>
              <w:left w:val="nil"/>
            </w:tcBorders>
          </w:tcPr>
          <w:p>
            <w:pPr>
              <w:pStyle w:val="TableParagraph"/>
              <w:spacing w:before="91"/>
              <w:ind w:left="101"/>
              <w:rPr>
                <w:sz w:val="19"/>
              </w:rPr>
            </w:pPr>
            <w:r>
              <w:rPr>
                <w:color w:val="202020"/>
                <w:sz w:val="19"/>
              </w:rPr>
              <w:t>4409</w:t>
            </w:r>
          </w:p>
        </w:tc>
        <w:tc>
          <w:tcPr>
            <w:tcW w:w="9497" w:type="dxa"/>
          </w:tcPr>
          <w:p>
            <w:pPr>
              <w:pStyle w:val="TableParagraph"/>
              <w:spacing w:line="237" w:lineRule="auto" w:before="93"/>
              <w:ind w:left="100" w:right="99"/>
              <w:rPr>
                <w:sz w:val="19"/>
              </w:rPr>
            </w:pPr>
            <w:r>
              <w:rPr>
                <w:color w:val="202020"/>
                <w:sz w:val="19"/>
              </w:rPr>
              <w:t>Wood (including strips and friezes for parquet flooring, not assembled) continuously shaped (tongued, grooved, rebated, chamfered, v-jointed, beaded, moulded, rounded or the like) along any of its edges or faces, whether or not planed, sanded or finger-jointed, other than wood that is dowelling or picture frame moulding</w:t>
            </w:r>
          </w:p>
        </w:tc>
        <w:tc>
          <w:tcPr>
            <w:tcW w:w="1258" w:type="dxa"/>
          </w:tcPr>
          <w:p>
            <w:pPr>
              <w:pStyle w:val="TableParagraph"/>
              <w:spacing w:before="91"/>
              <w:ind w:left="100"/>
              <w:rPr>
                <w:sz w:val="19"/>
              </w:rPr>
            </w:pPr>
            <w:r>
              <w:rPr>
                <w:color w:val="202020"/>
                <w:sz w:val="19"/>
              </w:rPr>
              <w:t>2.5</w:t>
            </w:r>
          </w:p>
        </w:tc>
        <w:tc>
          <w:tcPr>
            <w:tcW w:w="1163" w:type="dxa"/>
          </w:tcPr>
          <w:p>
            <w:pPr>
              <w:pStyle w:val="TableParagraph"/>
              <w:spacing w:line="237" w:lineRule="auto" w:before="93"/>
              <w:ind w:left="100"/>
              <w:rPr>
                <w:sz w:val="19"/>
              </w:rPr>
            </w:pPr>
            <w:r>
              <w:rPr>
                <w:color w:val="202020"/>
                <w:w w:val="95"/>
                <w:sz w:val="19"/>
              </w:rPr>
              <w:t>Softwood </w:t>
            </w:r>
            <w:r>
              <w:rPr>
                <w:color w:val="202020"/>
                <w:sz w:val="19"/>
              </w:rPr>
              <w:t>sawlog</w:t>
            </w:r>
          </w:p>
          <w:p>
            <w:pPr>
              <w:pStyle w:val="TableParagraph"/>
              <w:spacing w:before="6"/>
              <w:rPr>
                <w:b/>
                <w:sz w:val="16"/>
              </w:rPr>
            </w:pPr>
          </w:p>
          <w:p>
            <w:pPr>
              <w:pStyle w:val="TableParagraph"/>
              <w:spacing w:line="237" w:lineRule="auto"/>
              <w:ind w:left="100"/>
              <w:rPr>
                <w:sz w:val="19"/>
              </w:rPr>
            </w:pPr>
            <w:r>
              <w:rPr>
                <w:color w:val="202020"/>
                <w:w w:val="95"/>
                <w:sz w:val="19"/>
              </w:rPr>
              <w:t>Hardwood </w:t>
            </w:r>
            <w:r>
              <w:rPr>
                <w:color w:val="202020"/>
                <w:sz w:val="19"/>
              </w:rPr>
              <w:t>sawlog</w:t>
            </w:r>
          </w:p>
        </w:tc>
        <w:tc>
          <w:tcPr>
            <w:tcW w:w="1407" w:type="dxa"/>
          </w:tcPr>
          <w:p>
            <w:pPr>
              <w:pStyle w:val="TableParagraph"/>
              <w:spacing w:before="91"/>
              <w:ind w:left="100"/>
              <w:rPr>
                <w:sz w:val="19"/>
              </w:rPr>
            </w:pPr>
            <w:r>
              <w:rPr>
                <w:color w:val="202020"/>
                <w:sz w:val="19"/>
              </w:rPr>
              <w:t>0.29</w:t>
            </w:r>
          </w:p>
          <w:p>
            <w:pPr>
              <w:pStyle w:val="TableParagraph"/>
              <w:spacing w:before="4"/>
              <w:rPr>
                <w:b/>
                <w:sz w:val="16"/>
              </w:rPr>
            </w:pPr>
          </w:p>
          <w:p>
            <w:pPr>
              <w:pStyle w:val="TableParagraph"/>
              <w:ind w:left="100"/>
              <w:rPr>
                <w:sz w:val="19"/>
              </w:rPr>
            </w:pPr>
            <w:r>
              <w:rPr>
                <w:color w:val="202020"/>
                <w:sz w:val="19"/>
              </w:rPr>
              <w:t>0.22</w:t>
            </w:r>
          </w:p>
        </w:tc>
        <w:tc>
          <w:tcPr>
            <w:tcW w:w="1137" w:type="dxa"/>
            <w:tcBorders>
              <w:right w:val="nil"/>
            </w:tcBorders>
          </w:tcPr>
          <w:p>
            <w:pPr>
              <w:pStyle w:val="TableParagraph"/>
              <w:spacing w:before="91"/>
              <w:ind w:left="100"/>
              <w:rPr>
                <w:sz w:val="19"/>
              </w:rPr>
            </w:pPr>
            <w:r>
              <w:rPr>
                <w:color w:val="202020"/>
                <w:sz w:val="19"/>
              </w:rPr>
              <w:t>0.72</w:t>
            </w:r>
          </w:p>
          <w:p>
            <w:pPr>
              <w:pStyle w:val="TableParagraph"/>
              <w:spacing w:before="4"/>
              <w:rPr>
                <w:b/>
                <w:sz w:val="16"/>
              </w:rPr>
            </w:pPr>
          </w:p>
          <w:p>
            <w:pPr>
              <w:pStyle w:val="TableParagraph"/>
              <w:ind w:left="100"/>
              <w:rPr>
                <w:sz w:val="19"/>
              </w:rPr>
            </w:pPr>
            <w:r>
              <w:rPr>
                <w:color w:val="202020"/>
                <w:sz w:val="19"/>
              </w:rPr>
              <w:t>0.55</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2020-12-09T22:43:57Z</dcterms:created>
  <dcterms:modified xsi:type="dcterms:W3CDTF">2020-12-09T22:43:57Z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