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14</w:t>
      </w:r>
    </w:p>
    <w:p>
      <w:pPr>
        <w:spacing w:before="357"/>
        <w:ind w:left="108" w:right="0" w:firstLine="0"/>
        <w:jc w:val="left"/>
        <w:rPr>
          <w:b/>
          <w:sz w:val="32"/>
        </w:rPr>
      </w:pPr>
      <w:r>
        <w:rPr>
          <w:b/>
          <w:color w:val="202020"/>
          <w:sz w:val="32"/>
        </w:rPr>
        <w:t>INDEXATION OF CERTAIN EXCISE AND CUSTOMS TARIFF RATES AND THE DIESEL FUEL REBATE</w:t>
      </w:r>
    </w:p>
    <w:p>
      <w:pPr>
        <w:pStyle w:val="BodyText"/>
        <w:spacing w:line="237" w:lineRule="auto" w:before="256"/>
      </w:pPr>
      <w:r>
        <w:rPr/>
        <w:t>The provisions of section 6A of the Excise </w:t>
      </w:r>
      <w:r>
        <w:rPr>
          <w:spacing w:val="-5"/>
        </w:rPr>
        <w:t>Tariff </w:t>
      </w:r>
      <w:r>
        <w:rPr/>
        <w:t>Act 1921 and section 19 of the Customs </w:t>
      </w:r>
      <w:r>
        <w:rPr>
          <w:spacing w:val="-5"/>
        </w:rPr>
        <w:t>Tariff </w:t>
      </w:r>
      <w:r>
        <w:rPr/>
        <w:t>Act 1995 provide for indexation increases to rates of duty for certain excisable and like customable goods, in February and August of each </w:t>
      </w:r>
      <w:r>
        <w:rPr>
          <w:spacing w:val="-3"/>
        </w:rPr>
        <w:t>year, </w:t>
      </w:r>
      <w:r>
        <w:rPr/>
        <w:t>in certain circumstances. The increases are related to certain movements in the Consumer Price Index (CPI).</w:t>
      </w:r>
    </w:p>
    <w:p>
      <w:pPr>
        <w:pStyle w:val="BodyText"/>
        <w:spacing w:before="4"/>
        <w:ind w:left="0"/>
        <w:rPr>
          <w:sz w:val="16"/>
        </w:rPr>
      </w:pPr>
    </w:p>
    <w:p>
      <w:pPr>
        <w:pStyle w:val="BodyText"/>
      </w:pPr>
      <w:r>
        <w:rPr/>
        <w:t>The CPI for the December quarter 1997 was released by the Australian Bureau of Statistics on 28 January 1998.</w:t>
      </w:r>
    </w:p>
    <w:p>
      <w:pPr>
        <w:pStyle w:val="BodyText"/>
        <w:spacing w:before="5"/>
        <w:ind w:left="0"/>
        <w:rPr>
          <w:sz w:val="16"/>
        </w:rPr>
      </w:pPr>
    </w:p>
    <w:p>
      <w:pPr>
        <w:pStyle w:val="BodyText"/>
        <w:spacing w:line="237" w:lineRule="auto"/>
        <w:ind w:right="694"/>
      </w:pPr>
      <w:r>
        <w:rPr/>
        <w:t>Sub-section 6A(5) of the Excise Tariff Act 1921 requires that the last preceding December or June index number published by the Australian Statistician be divided by the previous highest December or June index number since December 1983 to establish a factor.</w:t>
      </w:r>
    </w:p>
    <w:p>
      <w:pPr>
        <w:pStyle w:val="BodyText"/>
        <w:spacing w:before="6"/>
        <w:ind w:left="0"/>
        <w:rPr>
          <w:sz w:val="16"/>
        </w:rPr>
      </w:pPr>
    </w:p>
    <w:p>
      <w:pPr>
        <w:pStyle w:val="BodyText"/>
        <w:spacing w:line="237" w:lineRule="auto"/>
        <w:ind w:right="219"/>
      </w:pPr>
      <w:r>
        <w:rPr/>
        <w:t>The December 1997 index number (120.0) has been divided by the December 1996 number (120.3) to establish a factor of 0.998. Sub-section 6A(4) of the Act provides that the rates of duty will be indexed only if the factor is greater than 1. As the factor on this occasion does not exceed 1, there will be no indexation of the excise duty rates or the equivalent customs duty rates following release of the December 1997 CPI figure.</w:t>
      </w:r>
    </w:p>
    <w:p>
      <w:pPr>
        <w:pStyle w:val="BodyText"/>
        <w:spacing w:before="6"/>
        <w:ind w:left="0"/>
        <w:rPr>
          <w:sz w:val="16"/>
        </w:rPr>
      </w:pPr>
    </w:p>
    <w:p>
      <w:pPr>
        <w:pStyle w:val="BodyText"/>
        <w:spacing w:line="237" w:lineRule="auto"/>
        <w:ind w:right="443"/>
        <w:jc w:val="both"/>
      </w:pPr>
      <w:r>
        <w:rPr/>
        <w:t>Also,</w:t>
      </w:r>
      <w:r>
        <w:rPr>
          <w:spacing w:val="-3"/>
        </w:rPr>
        <w:t> </w:t>
      </w:r>
      <w:r>
        <w:rPr/>
        <w:t>there</w:t>
      </w:r>
      <w:r>
        <w:rPr>
          <w:spacing w:val="-2"/>
        </w:rPr>
        <w:t> </w:t>
      </w:r>
      <w:r>
        <w:rPr/>
        <w:t>is</w:t>
      </w:r>
      <w:r>
        <w:rPr>
          <w:spacing w:val="-3"/>
        </w:rPr>
        <w:t> </w:t>
      </w:r>
      <w:r>
        <w:rPr/>
        <w:t>no</w:t>
      </w:r>
      <w:r>
        <w:rPr>
          <w:spacing w:val="-2"/>
        </w:rPr>
        <w:t> </w:t>
      </w:r>
      <w:r>
        <w:rPr/>
        <w:t>change</w:t>
      </w:r>
      <w:r>
        <w:rPr>
          <w:spacing w:val="-2"/>
        </w:rPr>
        <w:t> </w:t>
      </w:r>
      <w:r>
        <w:rPr/>
        <w:t>to</w:t>
      </w:r>
      <w:r>
        <w:rPr>
          <w:spacing w:val="-3"/>
        </w:rPr>
        <w:t> </w:t>
      </w:r>
      <w:r>
        <w:rPr/>
        <w:t>the</w:t>
      </w:r>
      <w:r>
        <w:rPr>
          <w:spacing w:val="-2"/>
        </w:rPr>
        <w:t> </w:t>
      </w:r>
      <w:r>
        <w:rPr/>
        <w:t>rates</w:t>
      </w:r>
      <w:r>
        <w:rPr>
          <w:spacing w:val="-2"/>
        </w:rPr>
        <w:t> </w:t>
      </w:r>
      <w:r>
        <w:rPr/>
        <w:t>of</w:t>
      </w:r>
      <w:r>
        <w:rPr>
          <w:spacing w:val="-3"/>
        </w:rPr>
        <w:t> </w:t>
      </w:r>
      <w:r>
        <w:rPr/>
        <w:t>diesel</w:t>
      </w:r>
      <w:r>
        <w:rPr>
          <w:spacing w:val="-2"/>
        </w:rPr>
        <w:t> </w:t>
      </w:r>
      <w:r>
        <w:rPr/>
        <w:t>fuel</w:t>
      </w:r>
      <w:r>
        <w:rPr>
          <w:spacing w:val="-3"/>
        </w:rPr>
        <w:t> </w:t>
      </w:r>
      <w:r>
        <w:rPr/>
        <w:t>rebate</w:t>
      </w:r>
      <w:r>
        <w:rPr>
          <w:spacing w:val="-2"/>
        </w:rPr>
        <w:t> </w:t>
      </w:r>
      <w:r>
        <w:rPr/>
        <w:t>declared</w:t>
      </w:r>
      <w:r>
        <w:rPr>
          <w:spacing w:val="-2"/>
        </w:rPr>
        <w:t> </w:t>
      </w:r>
      <w:r>
        <w:rPr/>
        <w:t>in</w:t>
      </w:r>
      <w:r>
        <w:rPr>
          <w:spacing w:val="-3"/>
        </w:rPr>
        <w:t> </w:t>
      </w:r>
      <w:r>
        <w:rPr/>
        <w:t>respect</w:t>
      </w:r>
      <w:r>
        <w:rPr>
          <w:spacing w:val="-2"/>
        </w:rPr>
        <w:t> </w:t>
      </w:r>
      <w:r>
        <w:rPr/>
        <w:t>of</w:t>
      </w:r>
      <w:r>
        <w:rPr>
          <w:spacing w:val="-2"/>
        </w:rPr>
        <w:t> </w:t>
      </w:r>
      <w:r>
        <w:rPr/>
        <w:t>sub-section</w:t>
      </w:r>
      <w:r>
        <w:rPr>
          <w:spacing w:val="-3"/>
        </w:rPr>
        <w:t> </w:t>
      </w:r>
      <w:r>
        <w:rPr/>
        <w:t>164(5A)</w:t>
      </w:r>
      <w:r>
        <w:rPr>
          <w:spacing w:val="-2"/>
        </w:rPr>
        <w:t> </w:t>
      </w:r>
      <w:r>
        <w:rPr/>
        <w:t>of</w:t>
      </w:r>
      <w:r>
        <w:rPr>
          <w:spacing w:val="-3"/>
        </w:rPr>
        <w:t> </w:t>
      </w:r>
      <w:r>
        <w:rPr/>
        <w:t>the</w:t>
      </w:r>
      <w:r>
        <w:rPr>
          <w:spacing w:val="-2"/>
        </w:rPr>
        <w:t> </w:t>
      </w:r>
      <w:r>
        <w:rPr/>
        <w:t>Customs</w:t>
      </w:r>
      <w:r>
        <w:rPr>
          <w:spacing w:val="-2"/>
        </w:rPr>
        <w:t> </w:t>
      </w:r>
      <w:r>
        <w:rPr/>
        <w:t>Act</w:t>
      </w:r>
      <w:r>
        <w:rPr>
          <w:spacing w:val="-3"/>
        </w:rPr>
        <w:t> </w:t>
      </w:r>
      <w:r>
        <w:rPr/>
        <w:t>1901</w:t>
      </w:r>
      <w:r>
        <w:rPr>
          <w:spacing w:val="-2"/>
        </w:rPr>
        <w:t> </w:t>
      </w:r>
      <w:r>
        <w:rPr/>
        <w:t>and</w:t>
      </w:r>
      <w:r>
        <w:rPr>
          <w:spacing w:val="-2"/>
        </w:rPr>
        <w:t> </w:t>
      </w:r>
      <w:r>
        <w:rPr/>
        <w:t>sub-section</w:t>
      </w:r>
      <w:r>
        <w:rPr>
          <w:spacing w:val="-3"/>
        </w:rPr>
        <w:t> </w:t>
      </w:r>
      <w:r>
        <w:rPr/>
        <w:t>78A(5A)</w:t>
      </w:r>
      <w:r>
        <w:rPr>
          <w:spacing w:val="-2"/>
        </w:rPr>
        <w:t> </w:t>
      </w:r>
      <w:r>
        <w:rPr/>
        <w:t>of</w:t>
      </w:r>
      <w:r>
        <w:rPr>
          <w:spacing w:val="-3"/>
        </w:rPr>
        <w:t> </w:t>
      </w:r>
      <w:r>
        <w:rPr/>
        <w:t>the</w:t>
      </w:r>
      <w:r>
        <w:rPr>
          <w:spacing w:val="-2"/>
        </w:rPr>
        <w:t> </w:t>
      </w:r>
      <w:r>
        <w:rPr/>
        <w:t>Excise</w:t>
      </w:r>
      <w:r>
        <w:rPr>
          <w:spacing w:val="-2"/>
        </w:rPr>
        <w:t> </w:t>
      </w:r>
      <w:r>
        <w:rPr/>
        <w:t>Act</w:t>
      </w:r>
      <w:r>
        <w:rPr>
          <w:spacing w:val="-3"/>
        </w:rPr>
        <w:t> </w:t>
      </w:r>
      <w:r>
        <w:rPr/>
        <w:t>1901.</w:t>
      </w:r>
      <w:r>
        <w:rPr>
          <w:spacing w:val="-2"/>
        </w:rPr>
        <w:t> </w:t>
      </w:r>
      <w:r>
        <w:rPr/>
        <w:t>Rebate rates</w:t>
      </w:r>
      <w:r>
        <w:rPr>
          <w:spacing w:val="-3"/>
        </w:rPr>
        <w:t> </w:t>
      </w:r>
      <w:r>
        <w:rPr/>
        <w:t>can</w:t>
      </w:r>
      <w:r>
        <w:rPr>
          <w:spacing w:val="-3"/>
        </w:rPr>
        <w:t> </w:t>
      </w:r>
      <w:r>
        <w:rPr/>
        <w:t>change</w:t>
      </w:r>
      <w:r>
        <w:rPr>
          <w:spacing w:val="-2"/>
        </w:rPr>
        <w:t> </w:t>
      </w:r>
      <w:r>
        <w:rPr/>
        <w:t>from</w:t>
      </w:r>
      <w:r>
        <w:rPr>
          <w:spacing w:val="-3"/>
        </w:rPr>
        <w:t> </w:t>
      </w:r>
      <w:r>
        <w:rPr/>
        <w:t>month</w:t>
      </w:r>
      <w:r>
        <w:rPr>
          <w:spacing w:val="-2"/>
        </w:rPr>
        <w:t> </w:t>
      </w:r>
      <w:r>
        <w:rPr/>
        <w:t>to</w:t>
      </w:r>
      <w:r>
        <w:rPr>
          <w:spacing w:val="-3"/>
        </w:rPr>
        <w:t> </w:t>
      </w:r>
      <w:r>
        <w:rPr/>
        <w:t>month</w:t>
      </w:r>
      <w:r>
        <w:rPr>
          <w:spacing w:val="-2"/>
        </w:rPr>
        <w:t> </w:t>
      </w:r>
      <w:r>
        <w:rPr/>
        <w:t>because</w:t>
      </w:r>
      <w:r>
        <w:rPr>
          <w:spacing w:val="-3"/>
        </w:rPr>
        <w:t> </w:t>
      </w:r>
      <w:r>
        <w:rPr/>
        <w:t>of</w:t>
      </w:r>
      <w:r>
        <w:rPr>
          <w:spacing w:val="-2"/>
        </w:rPr>
        <w:t> </w:t>
      </w:r>
      <w:r>
        <w:rPr/>
        <w:t>the</w:t>
      </w:r>
      <w:r>
        <w:rPr>
          <w:spacing w:val="-3"/>
        </w:rPr>
        <w:t> </w:t>
      </w:r>
      <w:r>
        <w:rPr/>
        <w:t>effects</w:t>
      </w:r>
      <w:r>
        <w:rPr>
          <w:spacing w:val="-2"/>
        </w:rPr>
        <w:t> </w:t>
      </w:r>
      <w:r>
        <w:rPr/>
        <w:t>of</w:t>
      </w:r>
      <w:r>
        <w:rPr>
          <w:spacing w:val="-3"/>
        </w:rPr>
        <w:t> </w:t>
      </w:r>
      <w:r>
        <w:rPr/>
        <w:t>indexation</w:t>
      </w:r>
      <w:r>
        <w:rPr>
          <w:spacing w:val="-2"/>
        </w:rPr>
        <w:t> </w:t>
      </w:r>
      <w:r>
        <w:rPr/>
        <w:t>and</w:t>
      </w:r>
      <w:r>
        <w:rPr>
          <w:spacing w:val="-3"/>
        </w:rPr>
        <w:t> </w:t>
      </w:r>
      <w:r>
        <w:rPr/>
        <w:t>the</w:t>
      </w:r>
      <w:r>
        <w:rPr>
          <w:spacing w:val="-2"/>
        </w:rPr>
        <w:t> </w:t>
      </w:r>
      <w:r>
        <w:rPr/>
        <w:t>averaging</w:t>
      </w:r>
      <w:r>
        <w:rPr>
          <w:spacing w:val="-3"/>
        </w:rPr>
        <w:t> </w:t>
      </w:r>
      <w:r>
        <w:rPr/>
        <w:t>provisions</w:t>
      </w:r>
      <w:r>
        <w:rPr>
          <w:spacing w:val="-2"/>
        </w:rPr>
        <w:t> </w:t>
      </w:r>
      <w:r>
        <w:rPr/>
        <w:t>of</w:t>
      </w:r>
      <w:r>
        <w:rPr>
          <w:spacing w:val="-3"/>
        </w:rPr>
        <w:t> </w:t>
      </w:r>
      <w:r>
        <w:rPr/>
        <w:t>the</w:t>
      </w:r>
      <w:r>
        <w:rPr>
          <w:spacing w:val="-2"/>
        </w:rPr>
        <w:t> </w:t>
      </w:r>
      <w:r>
        <w:rPr/>
        <w:t>rebate</w:t>
      </w:r>
      <w:r>
        <w:rPr>
          <w:spacing w:val="-3"/>
        </w:rPr>
        <w:t> </w:t>
      </w:r>
      <w:r>
        <w:rPr/>
        <w:t>legislation.</w:t>
      </w:r>
      <w:r>
        <w:rPr>
          <w:spacing w:val="-2"/>
        </w:rPr>
        <w:t> </w:t>
      </w:r>
      <w:r>
        <w:rPr/>
        <w:t>The</w:t>
      </w:r>
      <w:r>
        <w:rPr>
          <w:spacing w:val="-3"/>
        </w:rPr>
        <w:t> </w:t>
      </w:r>
      <w:r>
        <w:rPr/>
        <w:t>rate</w:t>
      </w:r>
      <w:r>
        <w:rPr>
          <w:spacing w:val="-2"/>
        </w:rPr>
        <w:t> </w:t>
      </w:r>
      <w:r>
        <w:rPr/>
        <w:t>applicable</w:t>
      </w:r>
      <w:r>
        <w:rPr>
          <w:spacing w:val="-3"/>
        </w:rPr>
        <w:t> </w:t>
      </w:r>
      <w:r>
        <w:rPr/>
        <w:t>to</w:t>
      </w:r>
      <w:r>
        <w:rPr>
          <w:spacing w:val="-2"/>
        </w:rPr>
        <w:t> </w:t>
      </w:r>
      <w:r>
        <w:rPr/>
        <w:t>a</w:t>
      </w:r>
      <w:r>
        <w:rPr>
          <w:spacing w:val="-3"/>
        </w:rPr>
        <w:t> </w:t>
      </w:r>
      <w:r>
        <w:rPr/>
        <w:t>particular</w:t>
      </w:r>
      <w:r>
        <w:rPr>
          <w:spacing w:val="-2"/>
        </w:rPr>
        <w:t> </w:t>
      </w:r>
      <w:r>
        <w:rPr/>
        <w:t>claim</w:t>
      </w:r>
      <w:r>
        <w:rPr>
          <w:spacing w:val="-3"/>
        </w:rPr>
        <w:t> </w:t>
      </w:r>
      <w:r>
        <w:rPr/>
        <w:t>is</w:t>
      </w:r>
      <w:r>
        <w:rPr>
          <w:spacing w:val="-3"/>
        </w:rPr>
        <w:t> </w:t>
      </w:r>
      <w:r>
        <w:rPr/>
        <w:t>shown</w:t>
      </w:r>
      <w:r>
        <w:rPr>
          <w:spacing w:val="-2"/>
        </w:rPr>
        <w:t> </w:t>
      </w:r>
      <w:r>
        <w:rPr/>
        <w:t>on the payment advice forwarded to</w:t>
      </w:r>
      <w:r>
        <w:rPr>
          <w:spacing w:val="-6"/>
        </w:rPr>
        <w:t> </w:t>
      </w:r>
      <w:r>
        <w:rPr/>
        <w:t>claimants.</w:t>
      </w:r>
    </w:p>
    <w:p>
      <w:pPr>
        <w:pStyle w:val="BodyText"/>
        <w:spacing w:before="4"/>
        <w:ind w:left="0"/>
        <w:rPr>
          <w:sz w:val="16"/>
        </w:rPr>
      </w:pPr>
    </w:p>
    <w:p>
      <w:pPr>
        <w:pStyle w:val="BodyText"/>
        <w:jc w:val="both"/>
      </w:pPr>
      <w:r>
        <w:rPr/>
        <w:t>Any enquiries concerning these matters should be directed to:</w:t>
      </w:r>
    </w:p>
    <w:p>
      <w:pPr>
        <w:pStyle w:val="BodyText"/>
        <w:spacing w:before="5" w:after="1"/>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013"/>
        <w:gridCol w:w="9578"/>
      </w:tblGrid>
      <w:tr>
        <w:trPr>
          <w:trHeight w:val="1459" w:hRule="atLeast"/>
        </w:trPr>
        <w:tc>
          <w:tcPr>
            <w:tcW w:w="6013" w:type="dxa"/>
            <w:tcBorders>
              <w:left w:val="nil"/>
            </w:tcBorders>
          </w:tcPr>
          <w:p>
            <w:pPr>
              <w:pStyle w:val="TableParagraph"/>
              <w:spacing w:before="91"/>
              <w:rPr>
                <w:sz w:val="19"/>
              </w:rPr>
            </w:pPr>
            <w:r>
              <w:rPr>
                <w:color w:val="202020"/>
                <w:sz w:val="19"/>
              </w:rPr>
              <w:t>for Excise Tariff Rates:</w:t>
            </w:r>
          </w:p>
        </w:tc>
        <w:tc>
          <w:tcPr>
            <w:tcW w:w="9578" w:type="dxa"/>
            <w:tcBorders>
              <w:right w:val="nil"/>
            </w:tcBorders>
          </w:tcPr>
          <w:p>
            <w:pPr>
              <w:pStyle w:val="TableParagraph"/>
              <w:spacing w:line="237" w:lineRule="auto" w:before="93"/>
              <w:ind w:right="6574"/>
              <w:rPr>
                <w:sz w:val="19"/>
              </w:rPr>
            </w:pPr>
            <w:r>
              <w:rPr>
                <w:color w:val="202020"/>
                <w:sz w:val="19"/>
              </w:rPr>
              <w:t>Senior Inspector, Petroleum Excise Branch</w:t>
            </w:r>
          </w:p>
          <w:p>
            <w:pPr>
              <w:pStyle w:val="TableParagraph"/>
              <w:spacing w:line="237" w:lineRule="auto"/>
              <w:ind w:right="6574"/>
              <w:rPr>
                <w:sz w:val="19"/>
              </w:rPr>
            </w:pPr>
            <w:r>
              <w:rPr>
                <w:color w:val="202020"/>
                <w:sz w:val="19"/>
              </w:rPr>
              <w:t>Australian Customs Service CANBERRA ACT 2600</w:t>
            </w:r>
          </w:p>
          <w:p>
            <w:pPr>
              <w:pStyle w:val="TableParagraph"/>
              <w:spacing w:line="217" w:lineRule="exact"/>
              <w:rPr>
                <w:sz w:val="19"/>
              </w:rPr>
            </w:pPr>
            <w:r>
              <w:rPr>
                <w:color w:val="202020"/>
                <w:sz w:val="19"/>
              </w:rPr>
              <w:t>Ph: (02) 6275 6136</w:t>
            </w:r>
          </w:p>
        </w:tc>
      </w:tr>
      <w:tr>
        <w:trPr>
          <w:trHeight w:val="377" w:hRule="atLeast"/>
        </w:trPr>
        <w:tc>
          <w:tcPr>
            <w:tcW w:w="6013" w:type="dxa"/>
            <w:tcBorders>
              <w:left w:val="nil"/>
            </w:tcBorders>
          </w:tcPr>
          <w:p>
            <w:pPr>
              <w:pStyle w:val="TableParagraph"/>
              <w:ind w:left="0"/>
              <w:rPr>
                <w:rFonts w:ascii="Times New Roman"/>
                <w:sz w:val="18"/>
              </w:rPr>
            </w:pPr>
          </w:p>
        </w:tc>
        <w:tc>
          <w:tcPr>
            <w:tcW w:w="9578" w:type="dxa"/>
            <w:tcBorders>
              <w:right w:val="nil"/>
            </w:tcBorders>
          </w:tcPr>
          <w:p>
            <w:pPr>
              <w:pStyle w:val="TableParagraph"/>
              <w:ind w:left="0"/>
              <w:rPr>
                <w:rFonts w:ascii="Times New Roman"/>
                <w:sz w:val="18"/>
              </w:rPr>
            </w:pPr>
          </w:p>
        </w:tc>
      </w:tr>
      <w:tr>
        <w:trPr>
          <w:trHeight w:val="1459" w:hRule="atLeast"/>
        </w:trPr>
        <w:tc>
          <w:tcPr>
            <w:tcW w:w="6013" w:type="dxa"/>
            <w:tcBorders>
              <w:left w:val="nil"/>
            </w:tcBorders>
          </w:tcPr>
          <w:p>
            <w:pPr>
              <w:pStyle w:val="TableParagraph"/>
              <w:spacing w:before="91"/>
              <w:rPr>
                <w:sz w:val="19"/>
              </w:rPr>
            </w:pPr>
            <w:r>
              <w:rPr>
                <w:color w:val="202020"/>
                <w:sz w:val="19"/>
              </w:rPr>
              <w:t>for Customs Tariff Rates:</w:t>
            </w:r>
          </w:p>
        </w:tc>
        <w:tc>
          <w:tcPr>
            <w:tcW w:w="9578" w:type="dxa"/>
            <w:tcBorders>
              <w:right w:val="nil"/>
            </w:tcBorders>
          </w:tcPr>
          <w:p>
            <w:pPr>
              <w:pStyle w:val="TableParagraph"/>
              <w:spacing w:line="237" w:lineRule="auto" w:before="93"/>
              <w:ind w:right="6566"/>
              <w:rPr>
                <w:sz w:val="19"/>
              </w:rPr>
            </w:pPr>
            <w:r>
              <w:rPr>
                <w:color w:val="202020"/>
                <w:sz w:val="19"/>
              </w:rPr>
              <w:t>Senior Inspector, Tariff Legislation Tariff, Valuation and Origin Australian Customs Service CANBERRA ACT 2600</w:t>
            </w:r>
          </w:p>
          <w:p>
            <w:pPr>
              <w:pStyle w:val="TableParagraph"/>
              <w:spacing w:line="217" w:lineRule="exact"/>
              <w:rPr>
                <w:sz w:val="19"/>
              </w:rPr>
            </w:pPr>
            <w:r>
              <w:rPr>
                <w:color w:val="202020"/>
                <w:sz w:val="19"/>
              </w:rPr>
              <w:t>Ph: (02) 6275 6516</w:t>
            </w:r>
          </w:p>
        </w:tc>
      </w:tr>
      <w:tr>
        <w:trPr>
          <w:trHeight w:val="377" w:hRule="atLeast"/>
        </w:trPr>
        <w:tc>
          <w:tcPr>
            <w:tcW w:w="6013" w:type="dxa"/>
            <w:tcBorders>
              <w:left w:val="nil"/>
            </w:tcBorders>
          </w:tcPr>
          <w:p>
            <w:pPr>
              <w:pStyle w:val="TableParagraph"/>
              <w:ind w:left="0"/>
              <w:rPr>
                <w:rFonts w:ascii="Times New Roman"/>
                <w:sz w:val="18"/>
              </w:rPr>
            </w:pPr>
          </w:p>
        </w:tc>
        <w:tc>
          <w:tcPr>
            <w:tcW w:w="9578" w:type="dxa"/>
            <w:tcBorders>
              <w:right w:val="nil"/>
            </w:tcBorders>
          </w:tcPr>
          <w:p>
            <w:pPr>
              <w:pStyle w:val="TableParagraph"/>
              <w:ind w:left="0"/>
              <w:rPr>
                <w:rFonts w:ascii="Times New Roman"/>
                <w:sz w:val="18"/>
              </w:rPr>
            </w:pPr>
          </w:p>
        </w:tc>
      </w:tr>
      <w:tr>
        <w:trPr>
          <w:trHeight w:val="1459" w:hRule="atLeast"/>
        </w:trPr>
        <w:tc>
          <w:tcPr>
            <w:tcW w:w="6013" w:type="dxa"/>
            <w:tcBorders>
              <w:left w:val="nil"/>
            </w:tcBorders>
          </w:tcPr>
          <w:p>
            <w:pPr>
              <w:pStyle w:val="TableParagraph"/>
              <w:spacing w:before="91"/>
              <w:rPr>
                <w:sz w:val="19"/>
              </w:rPr>
            </w:pPr>
            <w:r>
              <w:rPr>
                <w:color w:val="202020"/>
                <w:sz w:val="19"/>
              </w:rPr>
              <w:t>for Diesel Fuel Rebate:</w:t>
            </w:r>
          </w:p>
        </w:tc>
        <w:tc>
          <w:tcPr>
            <w:tcW w:w="9578" w:type="dxa"/>
            <w:tcBorders>
              <w:right w:val="nil"/>
            </w:tcBorders>
          </w:tcPr>
          <w:p>
            <w:pPr>
              <w:pStyle w:val="TableParagraph"/>
              <w:spacing w:line="237" w:lineRule="auto" w:before="93"/>
              <w:ind w:right="5497"/>
              <w:rPr>
                <w:sz w:val="19"/>
              </w:rPr>
            </w:pPr>
            <w:r>
              <w:rPr>
                <w:color w:val="202020"/>
                <w:sz w:val="19"/>
              </w:rPr>
              <w:t>Senior Inspector, Rebate &amp;amp; Subsidy Excise Branch</w:t>
            </w:r>
          </w:p>
          <w:p>
            <w:pPr>
              <w:pStyle w:val="TableParagraph"/>
              <w:spacing w:line="237" w:lineRule="auto"/>
              <w:ind w:right="6574"/>
              <w:rPr>
                <w:sz w:val="19"/>
              </w:rPr>
            </w:pPr>
            <w:r>
              <w:rPr>
                <w:color w:val="202020"/>
                <w:sz w:val="19"/>
              </w:rPr>
              <w:t>Australian Customs Service CANBERRA ACT 2600</w:t>
            </w:r>
          </w:p>
          <w:p>
            <w:pPr>
              <w:pStyle w:val="TableParagraph"/>
              <w:spacing w:line="217" w:lineRule="exact"/>
              <w:rPr>
                <w:sz w:val="19"/>
              </w:rPr>
            </w:pPr>
            <w:r>
              <w:rPr>
                <w:color w:val="202020"/>
                <w:sz w:val="19"/>
              </w:rPr>
              <w:t>Ph: (02) 6275 6108</w:t>
            </w:r>
          </w:p>
        </w:tc>
      </w:tr>
    </w:tbl>
    <w:p>
      <w:pPr>
        <w:spacing w:after="0" w:line="217" w:lineRule="exact"/>
        <w:rPr>
          <w:sz w:val="19"/>
        </w:rPr>
        <w:sectPr>
          <w:type w:val="continuous"/>
          <w:pgSz w:w="16840" w:h="11900" w:orient="landscape"/>
          <w:pgMar w:top="680" w:bottom="280" w:left="580" w:right="440"/>
        </w:sectPr>
      </w:pPr>
    </w:p>
    <w:p>
      <w:pPr>
        <w:pStyle w:val="BodyText"/>
        <w:spacing w:line="217" w:lineRule="exact" w:before="77"/>
      </w:pPr>
      <w:r>
        <w:rPr/>
        <w:t>(J H</w:t>
      </w:r>
      <w:r>
        <w:rPr>
          <w:spacing w:val="-9"/>
        </w:rPr>
        <w:t> </w:t>
      </w:r>
      <w:r>
        <w:rPr/>
        <w:t>Jeffery)</w:t>
      </w:r>
    </w:p>
    <w:p>
      <w:pPr>
        <w:pStyle w:val="BodyText"/>
        <w:spacing w:line="237" w:lineRule="auto" w:before="1"/>
        <w:ind w:right="13260"/>
      </w:pPr>
      <w:r>
        <w:rPr/>
        <w:t>A/g National Director Commercial Services </w:t>
      </w:r>
      <w:r>
        <w:rPr>
          <w:spacing w:val="-3"/>
        </w:rPr>
        <w:t>Branch </w:t>
      </w:r>
      <w:r>
        <w:rPr/>
        <w:t>for Chief Executive Officer CANBERRA</w:t>
      </w:r>
    </w:p>
    <w:p>
      <w:pPr>
        <w:pStyle w:val="BodyText"/>
        <w:spacing w:line="400" w:lineRule="atLeast" w:before="7"/>
        <w:ind w:right="13930"/>
      </w:pPr>
      <w:r>
        <w:rPr/>
        <w:t>January 1998 (Excise -</w:t>
      </w:r>
      <w:r>
        <w:rPr>
          <w:spacing w:val="-20"/>
        </w:rPr>
        <w:t> </w:t>
      </w:r>
      <w:r>
        <w:rPr/>
        <w:t>C97/10752)</w:t>
      </w:r>
    </w:p>
    <w:p>
      <w:pPr>
        <w:pStyle w:val="BodyText"/>
        <w:spacing w:before="4"/>
      </w:pPr>
      <w:r>
        <w:rPr/>
        <w:t>(Tariff, Valuation &amp;amp; Origin - C97/00726)</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2020-12-09T23:00:41Z</dcterms:created>
  <dcterms:modified xsi:type="dcterms:W3CDTF">2020-12-09T23:00:41Z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