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49</w:t>
      </w:r>
    </w:p>
    <w:p>
      <w:pPr>
        <w:spacing w:line="316" w:lineRule="auto" w:before="357"/>
        <w:ind w:left="108" w:right="728" w:firstLine="0"/>
        <w:jc w:val="left"/>
        <w:rPr>
          <w:b/>
          <w:sz w:val="32"/>
        </w:rPr>
      </w:pPr>
      <w:r>
        <w:rPr>
          <w:b/>
          <w:color w:val="202020"/>
          <w:sz w:val="32"/>
        </w:rPr>
        <w:t>WAREHOUSE LICENCES - Renewal and payment of fees for 1998-99 (Part V of the Customs Act 1901)</w:t>
      </w:r>
    </w:p>
    <w:p>
      <w:pPr>
        <w:pStyle w:val="BodyText"/>
        <w:spacing w:line="237" w:lineRule="auto" w:before="140"/>
        <w:ind w:right="650"/>
        <w:jc w:val="both"/>
      </w:pPr>
      <w:r>
        <w:rPr/>
        <w:t>Warehouse</w:t>
      </w:r>
      <w:r>
        <w:rPr>
          <w:spacing w:val="-3"/>
        </w:rPr>
        <w:t> </w:t>
      </w:r>
      <w:r>
        <w:rPr/>
        <w:t>licences</w:t>
      </w:r>
      <w:r>
        <w:rPr>
          <w:spacing w:val="-3"/>
        </w:rPr>
        <w:t> </w:t>
      </w:r>
      <w:r>
        <w:rPr/>
        <w:t>for</w:t>
      </w:r>
      <w:r>
        <w:rPr>
          <w:spacing w:val="-3"/>
        </w:rPr>
        <w:t> </w:t>
      </w:r>
      <w:r>
        <w:rPr/>
        <w:t>1997-98</w:t>
      </w:r>
      <w:r>
        <w:rPr>
          <w:spacing w:val="-3"/>
        </w:rPr>
        <w:t> </w:t>
      </w:r>
      <w:r>
        <w:rPr/>
        <w:t>expired</w:t>
      </w:r>
      <w:r>
        <w:rPr>
          <w:spacing w:val="-2"/>
        </w:rPr>
        <w:t> </w:t>
      </w:r>
      <w:r>
        <w:rPr/>
        <w:t>on</w:t>
      </w:r>
      <w:r>
        <w:rPr>
          <w:spacing w:val="-3"/>
        </w:rPr>
        <w:t> </w:t>
      </w:r>
      <w:r>
        <w:rPr/>
        <w:t>30</w:t>
      </w:r>
      <w:r>
        <w:rPr>
          <w:spacing w:val="-3"/>
        </w:rPr>
        <w:t> </w:t>
      </w:r>
      <w:r>
        <w:rPr/>
        <w:t>June</w:t>
      </w:r>
      <w:r>
        <w:rPr>
          <w:spacing w:val="-3"/>
        </w:rPr>
        <w:t> </w:t>
      </w:r>
      <w:r>
        <w:rPr/>
        <w:t>1998.</w:t>
      </w:r>
      <w:r>
        <w:rPr>
          <w:spacing w:val="-3"/>
        </w:rPr>
        <w:t> </w:t>
      </w:r>
      <w:r>
        <w:rPr/>
        <w:t>Licences</w:t>
      </w:r>
      <w:r>
        <w:rPr>
          <w:spacing w:val="-2"/>
        </w:rPr>
        <w:t> </w:t>
      </w:r>
      <w:r>
        <w:rPr/>
        <w:t>may</w:t>
      </w:r>
      <w:r>
        <w:rPr>
          <w:spacing w:val="-3"/>
        </w:rPr>
        <w:t> </w:t>
      </w:r>
      <w:r>
        <w:rPr/>
        <w:t>be</w:t>
      </w:r>
      <w:r>
        <w:rPr>
          <w:spacing w:val="-3"/>
        </w:rPr>
        <w:t> </w:t>
      </w:r>
      <w:r>
        <w:rPr/>
        <w:t>renewed</w:t>
      </w:r>
      <w:r>
        <w:rPr>
          <w:spacing w:val="-3"/>
        </w:rPr>
        <w:t> </w:t>
      </w:r>
      <w:r>
        <w:rPr/>
        <w:t>upon</w:t>
      </w:r>
      <w:r>
        <w:rPr>
          <w:spacing w:val="-2"/>
        </w:rPr>
        <w:t> </w:t>
      </w:r>
      <w:r>
        <w:rPr/>
        <w:t>submission</w:t>
      </w:r>
      <w:r>
        <w:rPr>
          <w:spacing w:val="-3"/>
        </w:rPr>
        <w:t> </w:t>
      </w:r>
      <w:r>
        <w:rPr/>
        <w:t>of</w:t>
      </w:r>
      <w:r>
        <w:rPr>
          <w:spacing w:val="-3"/>
        </w:rPr>
        <w:t> </w:t>
      </w:r>
      <w:r>
        <w:rPr/>
        <w:t>a</w:t>
      </w:r>
      <w:r>
        <w:rPr>
          <w:spacing w:val="-3"/>
        </w:rPr>
        <w:t> </w:t>
      </w:r>
      <w:r>
        <w:rPr/>
        <w:t>written</w:t>
      </w:r>
      <w:r>
        <w:rPr>
          <w:spacing w:val="-3"/>
        </w:rPr>
        <w:t> </w:t>
      </w:r>
      <w:r>
        <w:rPr/>
        <w:t>application</w:t>
      </w:r>
      <w:r>
        <w:rPr>
          <w:spacing w:val="-2"/>
        </w:rPr>
        <w:t> </w:t>
      </w:r>
      <w:r>
        <w:rPr/>
        <w:t>for</w:t>
      </w:r>
      <w:r>
        <w:rPr>
          <w:spacing w:val="-3"/>
        </w:rPr>
        <w:t> </w:t>
      </w:r>
      <w:r>
        <w:rPr/>
        <w:t>renewal,</w:t>
      </w:r>
      <w:r>
        <w:rPr>
          <w:spacing w:val="-3"/>
        </w:rPr>
        <w:t> </w:t>
      </w:r>
      <w:r>
        <w:rPr/>
        <w:t>together</w:t>
      </w:r>
      <w:r>
        <w:rPr>
          <w:spacing w:val="-3"/>
        </w:rPr>
        <w:t> </w:t>
      </w:r>
      <w:r>
        <w:rPr/>
        <w:t>with</w:t>
      </w:r>
      <w:r>
        <w:rPr>
          <w:spacing w:val="-2"/>
        </w:rPr>
        <w:t> </w:t>
      </w:r>
      <w:r>
        <w:rPr/>
        <w:t>payment</w:t>
      </w:r>
      <w:r>
        <w:rPr>
          <w:spacing w:val="-3"/>
        </w:rPr>
        <w:t> </w:t>
      </w:r>
      <w:r>
        <w:rPr/>
        <w:t>of</w:t>
      </w:r>
      <w:r>
        <w:rPr>
          <w:spacing w:val="-3"/>
        </w:rPr>
        <w:t> </w:t>
      </w:r>
      <w:r>
        <w:rPr/>
        <w:t>the</w:t>
      </w:r>
      <w:r>
        <w:rPr>
          <w:spacing w:val="-3"/>
        </w:rPr>
        <w:t> </w:t>
      </w:r>
      <w:r>
        <w:rPr/>
        <w:t>fees,</w:t>
      </w:r>
      <w:r>
        <w:rPr>
          <w:spacing w:val="-3"/>
        </w:rPr>
        <w:t> </w:t>
      </w:r>
      <w:r>
        <w:rPr/>
        <w:t>to</w:t>
      </w:r>
      <w:r>
        <w:rPr>
          <w:spacing w:val="-2"/>
        </w:rPr>
        <w:t> </w:t>
      </w:r>
      <w:r>
        <w:rPr/>
        <w:t>the relevant</w:t>
      </w:r>
      <w:r>
        <w:rPr>
          <w:spacing w:val="-3"/>
        </w:rPr>
        <w:t> </w:t>
      </w:r>
      <w:r>
        <w:rPr/>
        <w:t>office</w:t>
      </w:r>
      <w:r>
        <w:rPr>
          <w:spacing w:val="-3"/>
        </w:rPr>
        <w:t> </w:t>
      </w:r>
      <w:r>
        <w:rPr/>
        <w:t>of</w:t>
      </w:r>
      <w:r>
        <w:rPr>
          <w:spacing w:val="-3"/>
        </w:rPr>
        <w:t> </w:t>
      </w:r>
      <w:r>
        <w:rPr/>
        <w:t>the</w:t>
      </w:r>
      <w:r>
        <w:rPr>
          <w:spacing w:val="-3"/>
        </w:rPr>
        <w:t> </w:t>
      </w:r>
      <w:r>
        <w:rPr/>
        <w:t>Australian</w:t>
      </w:r>
      <w:r>
        <w:rPr>
          <w:spacing w:val="-3"/>
        </w:rPr>
        <w:t> </w:t>
      </w:r>
      <w:r>
        <w:rPr/>
        <w:t>Customs</w:t>
      </w:r>
      <w:r>
        <w:rPr>
          <w:spacing w:val="-3"/>
        </w:rPr>
        <w:t> </w:t>
      </w:r>
      <w:r>
        <w:rPr/>
        <w:t>Service.</w:t>
      </w:r>
      <w:r>
        <w:rPr>
          <w:spacing w:val="-3"/>
        </w:rPr>
        <w:t> </w:t>
      </w:r>
      <w:r>
        <w:rPr/>
        <w:t>Due</w:t>
      </w:r>
      <w:r>
        <w:rPr>
          <w:spacing w:val="-2"/>
        </w:rPr>
        <w:t> </w:t>
      </w:r>
      <w:r>
        <w:rPr/>
        <w:t>to</w:t>
      </w:r>
      <w:r>
        <w:rPr>
          <w:spacing w:val="-3"/>
        </w:rPr>
        <w:t> </w:t>
      </w:r>
      <w:r>
        <w:rPr/>
        <w:t>delays</w:t>
      </w:r>
      <w:r>
        <w:rPr>
          <w:spacing w:val="-3"/>
        </w:rPr>
        <w:t> </w:t>
      </w:r>
      <w:r>
        <w:rPr/>
        <w:t>in</w:t>
      </w:r>
      <w:r>
        <w:rPr>
          <w:spacing w:val="-3"/>
        </w:rPr>
        <w:t> </w:t>
      </w:r>
      <w:r>
        <w:rPr/>
        <w:t>determining</w:t>
      </w:r>
      <w:r>
        <w:rPr>
          <w:spacing w:val="-3"/>
        </w:rPr>
        <w:t> </w:t>
      </w:r>
      <w:r>
        <w:rPr/>
        <w:t>and</w:t>
      </w:r>
      <w:r>
        <w:rPr>
          <w:spacing w:val="-3"/>
        </w:rPr>
        <w:t> </w:t>
      </w:r>
      <w:r>
        <w:rPr/>
        <w:t>obtaining</w:t>
      </w:r>
      <w:r>
        <w:rPr>
          <w:spacing w:val="-3"/>
        </w:rPr>
        <w:t> </w:t>
      </w:r>
      <w:r>
        <w:rPr/>
        <w:t>approval</w:t>
      </w:r>
      <w:r>
        <w:rPr>
          <w:spacing w:val="-3"/>
        </w:rPr>
        <w:t> </w:t>
      </w:r>
      <w:r>
        <w:rPr/>
        <w:t>for</w:t>
      </w:r>
      <w:r>
        <w:rPr>
          <w:spacing w:val="-2"/>
        </w:rPr>
        <w:t> </w:t>
      </w:r>
      <w:r>
        <w:rPr/>
        <w:t>the</w:t>
      </w:r>
      <w:r>
        <w:rPr>
          <w:spacing w:val="-3"/>
        </w:rPr>
        <w:t> </w:t>
      </w:r>
      <w:r>
        <w:rPr/>
        <w:t>warehouse</w:t>
      </w:r>
      <w:r>
        <w:rPr>
          <w:spacing w:val="-3"/>
        </w:rPr>
        <w:t> </w:t>
      </w:r>
      <w:r>
        <w:rPr/>
        <w:t>fees</w:t>
      </w:r>
      <w:r>
        <w:rPr>
          <w:spacing w:val="-3"/>
        </w:rPr>
        <w:t> </w:t>
      </w:r>
      <w:r>
        <w:rPr/>
        <w:t>for</w:t>
      </w:r>
      <w:r>
        <w:rPr>
          <w:spacing w:val="-3"/>
        </w:rPr>
        <w:t> </w:t>
      </w:r>
      <w:r>
        <w:rPr/>
        <w:t>1998-99,</w:t>
      </w:r>
      <w:r>
        <w:rPr>
          <w:spacing w:val="-3"/>
        </w:rPr>
        <w:t> </w:t>
      </w:r>
      <w:r>
        <w:rPr/>
        <w:t>the</w:t>
      </w:r>
      <w:r>
        <w:rPr>
          <w:spacing w:val="-3"/>
        </w:rPr>
        <w:t> </w:t>
      </w:r>
      <w:r>
        <w:rPr/>
        <w:t>cut-off</w:t>
      </w:r>
      <w:r>
        <w:rPr>
          <w:spacing w:val="-2"/>
        </w:rPr>
        <w:t> </w:t>
      </w:r>
      <w:r>
        <w:rPr/>
        <w:t>date</w:t>
      </w:r>
      <w:r>
        <w:rPr>
          <w:spacing w:val="-3"/>
        </w:rPr>
        <w:t> </w:t>
      </w:r>
      <w:r>
        <w:rPr/>
        <w:t>for</w:t>
      </w:r>
      <w:r>
        <w:rPr>
          <w:spacing w:val="-3"/>
        </w:rPr>
        <w:t> </w:t>
      </w:r>
      <w:r>
        <w:rPr/>
        <w:t>lodgement</w:t>
      </w:r>
      <w:r>
        <w:rPr>
          <w:spacing w:val="-3"/>
        </w:rPr>
        <w:t> </w:t>
      </w:r>
      <w:r>
        <w:rPr/>
        <w:t>of</w:t>
      </w:r>
      <w:r>
        <w:rPr>
          <w:spacing w:val="-3"/>
        </w:rPr>
        <w:t> </w:t>
      </w:r>
      <w:r>
        <w:rPr/>
        <w:t>renewal applications and payment of fees has been extended to 29 July</w:t>
      </w:r>
      <w:r>
        <w:rPr>
          <w:spacing w:val="-12"/>
        </w:rPr>
        <w:t> </w:t>
      </w:r>
      <w:r>
        <w:rPr/>
        <w:t>1998.</w:t>
      </w:r>
    </w:p>
    <w:p>
      <w:pPr>
        <w:pStyle w:val="BodyText"/>
        <w:spacing w:before="4"/>
        <w:ind w:left="0"/>
        <w:rPr>
          <w:sz w:val="16"/>
        </w:rPr>
      </w:pPr>
    </w:p>
    <w:p>
      <w:pPr>
        <w:pStyle w:val="Heading1"/>
      </w:pPr>
      <w:r>
        <w:rPr/>
        <w:t>Review of Warehouse Licence Fees</w:t>
      </w:r>
    </w:p>
    <w:p>
      <w:pPr>
        <w:pStyle w:val="BodyText"/>
        <w:spacing w:line="400" w:lineRule="atLeast" w:before="6"/>
        <w:ind w:left="373" w:right="728" w:hanging="266"/>
      </w:pPr>
      <w:r>
        <w:rPr/>
        <w:pict>
          <v:shape style="position:absolute;margin-left:37.793461pt;margin-top:34.520885pt;width:2.75pt;height:2.75pt;mso-position-horizontal-relative:page;mso-position-vertical-relative:paragraph;z-index:-15764480" coordorigin="756,690" coordsize="55,55" path="m801,745l765,745,756,736,756,699,765,690,801,690,810,699,810,717,810,736,801,745xe" filled="true" fillcolor="#000000" stroked="false">
            <v:path arrowok="t"/>
            <v:fill type="solid"/>
            <w10:wrap type="none"/>
          </v:shape>
        </w:pict>
      </w:r>
      <w:r>
        <w:rPr/>
        <w:t>Warehouse licence fees are reviewed annually in order to recover the costs of administering the warehouse licensing system. The 1998 review also considered initiatives such as: the introduction of the Customs Cost-Recovery System in April 1997;</w:t>
      </w:r>
    </w:p>
    <w:p>
      <w:pPr>
        <w:pStyle w:val="BodyText"/>
        <w:spacing w:line="217" w:lineRule="exact" w:before="3"/>
        <w:ind w:left="373"/>
      </w:pPr>
      <w:r>
        <w:rPr/>
        <w:pict>
          <v:shape style="position:absolute;margin-left:37.793461pt;margin-top:5.002381pt;width:2.75pt;height:2.75pt;mso-position-horizontal-relative:page;mso-position-vertical-relative:paragraph;z-index:15729152" coordorigin="756,100" coordsize="55,55" path="m801,154l765,154,756,145,756,109,765,100,801,100,810,109,810,127,810,145,801,154xe" filled="true" fillcolor="#000000" stroked="false">
            <v:path arrowok="t"/>
            <v:fill type="solid"/>
            <w10:wrap type="none"/>
          </v:shape>
        </w:pict>
      </w:r>
      <w:r>
        <w:rPr/>
        <w:t>Customs greater emphasis on self-assessment and risk-assessment when dealing with clients; and</w:t>
      </w:r>
    </w:p>
    <w:p>
      <w:pPr>
        <w:pStyle w:val="BodyText"/>
        <w:spacing w:line="217" w:lineRule="exact"/>
        <w:ind w:left="373"/>
      </w:pPr>
      <w:r>
        <w:rPr/>
        <w:pict>
          <v:shape style="position:absolute;margin-left:37.793461pt;margin-top:4.801703pt;width:2.75pt;height:2.75pt;mso-position-horizontal-relative:page;mso-position-vertical-relative:paragraph;z-index:15729664" coordorigin="756,96" coordsize="55,55" path="m801,150l765,150,756,141,756,105,765,96,801,96,810,105,810,123,810,141,801,150xe" filled="true" fillcolor="#000000" stroked="false">
            <v:path arrowok="t"/>
            <v:fill type="solid"/>
            <w10:wrap type="none"/>
          </v:shape>
        </w:pict>
      </w:r>
      <w:r>
        <w:rPr/>
        <w:t>the need to ensure that the charging structure for new undertakings, such as the recently approved Manufacturing in Bond scheme, is consistent with cost-recovery principles.</w:t>
      </w:r>
    </w:p>
    <w:p>
      <w:pPr>
        <w:pStyle w:val="BodyText"/>
        <w:spacing w:before="5"/>
        <w:ind w:left="0"/>
        <w:rPr>
          <w:sz w:val="16"/>
        </w:rPr>
      </w:pPr>
    </w:p>
    <w:p>
      <w:pPr>
        <w:pStyle w:val="BodyText"/>
        <w:spacing w:line="237" w:lineRule="auto" w:before="1"/>
        <w:ind w:right="421"/>
      </w:pPr>
      <w:r>
        <w:rPr/>
        <w:t>As a result, the fee structure has been changed to reduced flat fees for new licences and renewed licences, with no additional charges for specific types of warehouses and no reductions for computer-based accounting and recording systems. Other aspects, such as the facility for quarterly payments and the pro-rata fees for new licences issued after 1 July, will continue.</w:t>
      </w:r>
    </w:p>
    <w:p>
      <w:pPr>
        <w:pStyle w:val="BodyText"/>
        <w:spacing w:before="5"/>
        <w:ind w:left="0"/>
        <w:rPr>
          <w:sz w:val="16"/>
        </w:rPr>
      </w:pPr>
    </w:p>
    <w:p>
      <w:pPr>
        <w:pStyle w:val="BodyText"/>
        <w:spacing w:line="237" w:lineRule="auto" w:before="1"/>
        <w:ind w:right="653"/>
      </w:pPr>
      <w:r>
        <w:rPr/>
        <w:t>In future, warehouse licence fees will be reviewed twice a year as part of the current price review process for all cost-recovery charges. This will ensure that charges continue to be commensurate with the costs of administering the warehouse licensing system.</w:t>
      </w:r>
    </w:p>
    <w:p>
      <w:pPr>
        <w:pStyle w:val="BodyText"/>
        <w:spacing w:before="3"/>
        <w:ind w:left="0"/>
        <w:rPr>
          <w:sz w:val="16"/>
        </w:rPr>
      </w:pPr>
    </w:p>
    <w:p>
      <w:pPr>
        <w:pStyle w:val="Heading1"/>
      </w:pPr>
      <w:r>
        <w:rPr/>
        <w:t>Fees for 1998-1999</w:t>
      </w:r>
    </w:p>
    <w:p>
      <w:pPr>
        <w:pStyle w:val="BodyText"/>
        <w:spacing w:before="4"/>
        <w:ind w:left="0"/>
        <w:rPr>
          <w:b/>
          <w:sz w:val="16"/>
        </w:rPr>
      </w:pPr>
    </w:p>
    <w:p>
      <w:pPr>
        <w:pStyle w:val="BodyText"/>
      </w:pPr>
      <w:r>
        <w:rPr/>
        <w:t>The Customs Regulations have been amended, with effect from 1 July 1998, to prescribe warehouse licence fees for 1998-99 as specified below.</w:t>
      </w:r>
    </w:p>
    <w:p>
      <w:pPr>
        <w:pStyle w:val="BodyText"/>
        <w:spacing w:before="5" w:after="1"/>
        <w:ind w:left="0"/>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2223"/>
        <w:gridCol w:w="3369"/>
      </w:tblGrid>
      <w:tr>
        <w:trPr>
          <w:trHeight w:val="404" w:hRule="atLeast"/>
        </w:trPr>
        <w:tc>
          <w:tcPr>
            <w:tcW w:w="12223" w:type="dxa"/>
            <w:tcBorders>
              <w:left w:val="nil"/>
            </w:tcBorders>
          </w:tcPr>
          <w:p>
            <w:pPr>
              <w:pStyle w:val="TableParagraph"/>
              <w:ind w:left="101"/>
              <w:rPr>
                <w:sz w:val="19"/>
              </w:rPr>
            </w:pPr>
            <w:r>
              <w:rPr>
                <w:color w:val="202020"/>
                <w:sz w:val="19"/>
              </w:rPr>
              <w:t>New warehouse licence fee</w:t>
            </w:r>
          </w:p>
        </w:tc>
        <w:tc>
          <w:tcPr>
            <w:tcW w:w="3369" w:type="dxa"/>
            <w:tcBorders>
              <w:right w:val="nil"/>
            </w:tcBorders>
          </w:tcPr>
          <w:p>
            <w:pPr>
              <w:pStyle w:val="TableParagraph"/>
              <w:rPr>
                <w:sz w:val="19"/>
              </w:rPr>
            </w:pPr>
            <w:r>
              <w:rPr>
                <w:color w:val="202020"/>
                <w:sz w:val="19"/>
              </w:rPr>
              <w:t>$7,000</w:t>
            </w:r>
          </w:p>
        </w:tc>
      </w:tr>
      <w:tr>
        <w:trPr>
          <w:trHeight w:val="404" w:hRule="atLeast"/>
        </w:trPr>
        <w:tc>
          <w:tcPr>
            <w:tcW w:w="12223" w:type="dxa"/>
            <w:tcBorders>
              <w:left w:val="nil"/>
            </w:tcBorders>
          </w:tcPr>
          <w:p>
            <w:pPr>
              <w:pStyle w:val="TableParagraph"/>
              <w:ind w:left="101"/>
              <w:rPr>
                <w:sz w:val="19"/>
              </w:rPr>
            </w:pPr>
            <w:r>
              <w:rPr>
                <w:color w:val="202020"/>
                <w:sz w:val="19"/>
              </w:rPr>
              <w:t>Warehouse licence renewal fee</w:t>
            </w:r>
          </w:p>
        </w:tc>
        <w:tc>
          <w:tcPr>
            <w:tcW w:w="3369" w:type="dxa"/>
            <w:tcBorders>
              <w:right w:val="nil"/>
            </w:tcBorders>
          </w:tcPr>
          <w:p>
            <w:pPr>
              <w:pStyle w:val="TableParagraph"/>
              <w:rPr>
                <w:sz w:val="19"/>
              </w:rPr>
            </w:pPr>
            <w:r>
              <w:rPr>
                <w:color w:val="202020"/>
                <w:sz w:val="19"/>
              </w:rPr>
              <w:t>$4,000</w:t>
            </w:r>
          </w:p>
        </w:tc>
      </w:tr>
    </w:tbl>
    <w:p>
      <w:pPr>
        <w:pStyle w:val="BodyText"/>
        <w:spacing w:before="3"/>
        <w:ind w:left="0"/>
        <w:rPr>
          <w:sz w:val="16"/>
        </w:rPr>
      </w:pPr>
    </w:p>
    <w:p>
      <w:pPr>
        <w:pStyle w:val="Heading1"/>
      </w:pPr>
      <w:r>
        <w:rPr/>
        <w:t>Lodgement of Application for Renewal and Payment of</w:t>
      </w:r>
      <w:r>
        <w:rPr>
          <w:spacing w:val="-24"/>
        </w:rPr>
        <w:t> </w:t>
      </w:r>
      <w:r>
        <w:rPr/>
        <w:t>Fees</w:t>
      </w:r>
    </w:p>
    <w:p>
      <w:pPr>
        <w:pStyle w:val="BodyText"/>
        <w:spacing w:before="5"/>
        <w:ind w:left="0"/>
        <w:rPr>
          <w:b/>
          <w:sz w:val="16"/>
        </w:rPr>
      </w:pPr>
    </w:p>
    <w:p>
      <w:pPr>
        <w:pStyle w:val="BodyText"/>
        <w:spacing w:line="237" w:lineRule="auto"/>
        <w:ind w:right="151"/>
      </w:pPr>
      <w:r>
        <w:rPr/>
        <w:t>Applications</w:t>
      </w:r>
      <w:r>
        <w:rPr>
          <w:spacing w:val="-3"/>
        </w:rPr>
        <w:t> </w:t>
      </w:r>
      <w:r>
        <w:rPr/>
        <w:t>for</w:t>
      </w:r>
      <w:r>
        <w:rPr>
          <w:spacing w:val="-3"/>
        </w:rPr>
        <w:t> </w:t>
      </w:r>
      <w:r>
        <w:rPr/>
        <w:t>renewal</w:t>
      </w:r>
      <w:r>
        <w:rPr>
          <w:spacing w:val="-2"/>
        </w:rPr>
        <w:t> </w:t>
      </w:r>
      <w:r>
        <w:rPr/>
        <w:t>of</w:t>
      </w:r>
      <w:r>
        <w:rPr>
          <w:spacing w:val="-3"/>
        </w:rPr>
        <w:t> </w:t>
      </w:r>
      <w:r>
        <w:rPr/>
        <w:t>warehouse</w:t>
      </w:r>
      <w:r>
        <w:rPr>
          <w:spacing w:val="-3"/>
        </w:rPr>
        <w:t> </w:t>
      </w:r>
      <w:r>
        <w:rPr/>
        <w:t>licences</w:t>
      </w:r>
      <w:r>
        <w:rPr>
          <w:spacing w:val="-2"/>
        </w:rPr>
        <w:t> </w:t>
      </w:r>
      <w:r>
        <w:rPr/>
        <w:t>are</w:t>
      </w:r>
      <w:r>
        <w:rPr>
          <w:spacing w:val="-3"/>
        </w:rPr>
        <w:t> </w:t>
      </w:r>
      <w:r>
        <w:rPr/>
        <w:t>to</w:t>
      </w:r>
      <w:r>
        <w:rPr>
          <w:spacing w:val="-2"/>
        </w:rPr>
        <w:t> </w:t>
      </w:r>
      <w:r>
        <w:rPr/>
        <w:t>be</w:t>
      </w:r>
      <w:r>
        <w:rPr>
          <w:spacing w:val="-3"/>
        </w:rPr>
        <w:t> </w:t>
      </w:r>
      <w:r>
        <w:rPr/>
        <w:t>made</w:t>
      </w:r>
      <w:r>
        <w:rPr>
          <w:spacing w:val="-3"/>
        </w:rPr>
        <w:t> </w:t>
      </w:r>
      <w:r>
        <w:rPr/>
        <w:t>on</w:t>
      </w:r>
      <w:r>
        <w:rPr>
          <w:spacing w:val="-2"/>
        </w:rPr>
        <w:t> </w:t>
      </w:r>
      <w:r>
        <w:rPr/>
        <w:t>the</w:t>
      </w:r>
      <w:r>
        <w:rPr>
          <w:spacing w:val="-3"/>
        </w:rPr>
        <w:t> </w:t>
      </w:r>
      <w:r>
        <w:rPr/>
        <w:t>form</w:t>
      </w:r>
      <w:r>
        <w:rPr>
          <w:spacing w:val="-2"/>
        </w:rPr>
        <w:t> </w:t>
      </w:r>
      <w:r>
        <w:rPr/>
        <w:t>supplied</w:t>
      </w:r>
      <w:r>
        <w:rPr>
          <w:spacing w:val="-3"/>
        </w:rPr>
        <w:t> </w:t>
      </w:r>
      <w:r>
        <w:rPr/>
        <w:t>to</w:t>
      </w:r>
      <w:r>
        <w:rPr>
          <w:spacing w:val="-3"/>
        </w:rPr>
        <w:t> </w:t>
      </w:r>
      <w:r>
        <w:rPr/>
        <w:t>licensees</w:t>
      </w:r>
      <w:r>
        <w:rPr>
          <w:spacing w:val="-2"/>
        </w:rPr>
        <w:t> </w:t>
      </w:r>
      <w:r>
        <w:rPr/>
        <w:t>together</w:t>
      </w:r>
      <w:r>
        <w:rPr>
          <w:spacing w:val="-3"/>
        </w:rPr>
        <w:t> </w:t>
      </w:r>
      <w:r>
        <w:rPr/>
        <w:t>with</w:t>
      </w:r>
      <w:r>
        <w:rPr>
          <w:spacing w:val="-2"/>
        </w:rPr>
        <w:t> </w:t>
      </w:r>
      <w:r>
        <w:rPr/>
        <w:t>remittance</w:t>
      </w:r>
      <w:r>
        <w:rPr>
          <w:spacing w:val="-3"/>
        </w:rPr>
        <w:t> </w:t>
      </w:r>
      <w:r>
        <w:rPr/>
        <w:t>of</w:t>
      </w:r>
      <w:r>
        <w:rPr>
          <w:spacing w:val="-3"/>
        </w:rPr>
        <w:t> </w:t>
      </w:r>
      <w:r>
        <w:rPr/>
        <w:t>the</w:t>
      </w:r>
      <w:r>
        <w:rPr>
          <w:spacing w:val="-2"/>
        </w:rPr>
        <w:t> </w:t>
      </w:r>
      <w:r>
        <w:rPr/>
        <w:t>appropriate</w:t>
      </w:r>
      <w:r>
        <w:rPr>
          <w:spacing w:val="-3"/>
        </w:rPr>
        <w:t> </w:t>
      </w:r>
      <w:r>
        <w:rPr/>
        <w:t>fees.</w:t>
      </w:r>
      <w:r>
        <w:rPr>
          <w:spacing w:val="-3"/>
        </w:rPr>
        <w:t> </w:t>
      </w:r>
      <w:r>
        <w:rPr/>
        <w:t>Licensees</w:t>
      </w:r>
      <w:r>
        <w:rPr>
          <w:spacing w:val="-2"/>
        </w:rPr>
        <w:t> </w:t>
      </w:r>
      <w:r>
        <w:rPr/>
        <w:t>will</w:t>
      </w:r>
      <w:r>
        <w:rPr>
          <w:spacing w:val="-3"/>
        </w:rPr>
        <w:t> </w:t>
      </w:r>
      <w:r>
        <w:rPr/>
        <w:t>receive</w:t>
      </w:r>
      <w:r>
        <w:rPr>
          <w:spacing w:val="-2"/>
        </w:rPr>
        <w:t> </w:t>
      </w:r>
      <w:r>
        <w:rPr/>
        <w:t>confirmation</w:t>
      </w:r>
      <w:r>
        <w:rPr>
          <w:spacing w:val="-3"/>
        </w:rPr>
        <w:t> </w:t>
      </w:r>
      <w:r>
        <w:rPr/>
        <w:t>of the fees for 1998-99 and of the date by which they must be</w:t>
      </w:r>
      <w:r>
        <w:rPr>
          <w:spacing w:val="-14"/>
        </w:rPr>
        <w:t> </w:t>
      </w:r>
      <w:r>
        <w:rPr/>
        <w:t>paid.</w:t>
      </w:r>
    </w:p>
    <w:p>
      <w:pPr>
        <w:pStyle w:val="BodyText"/>
        <w:spacing w:before="4"/>
        <w:ind w:left="0"/>
        <w:rPr>
          <w:sz w:val="16"/>
        </w:rPr>
      </w:pPr>
    </w:p>
    <w:p>
      <w:pPr>
        <w:pStyle w:val="BodyText"/>
        <w:spacing w:line="446" w:lineRule="auto"/>
        <w:ind w:right="1285"/>
        <w:rPr>
          <w:b/>
        </w:rPr>
      </w:pPr>
      <w:r>
        <w:rPr/>
        <w:t>Where fees remain unpaid beyond the specified date, the licence may be suspended and the premises may not be used for warehousing goods subject to Customs control. </w:t>
      </w:r>
      <w:r>
        <w:rPr>
          <w:b/>
        </w:rPr>
        <w:t>Further Information</w:t>
      </w:r>
    </w:p>
    <w:p>
      <w:pPr>
        <w:pStyle w:val="BodyText"/>
        <w:spacing w:line="237" w:lineRule="auto" w:before="1"/>
        <w:ind w:right="146"/>
      </w:pPr>
      <w:r>
        <w:rPr/>
        <w:t>For further information concerning warehouse licensing or the fee structure please contact the Warehouse Licensing Clerk in the Customs office in the capital city of the State or Territory in which the warehouse is located.</w:t>
      </w:r>
    </w:p>
    <w:p>
      <w:pPr>
        <w:spacing w:after="0" w:line="237" w:lineRule="auto"/>
        <w:sectPr>
          <w:type w:val="continuous"/>
          <w:pgSz w:w="16840" w:h="11900" w:orient="landscape"/>
          <w:pgMar w:top="680" w:bottom="280" w:left="580" w:right="440"/>
        </w:sectPr>
      </w:pPr>
    </w:p>
    <w:p>
      <w:pPr>
        <w:pStyle w:val="BodyText"/>
        <w:spacing w:line="217" w:lineRule="exact" w:before="77"/>
      </w:pPr>
      <w:r>
        <w:rPr/>
        <w:t>Richard Hunt</w:t>
      </w:r>
    </w:p>
    <w:p>
      <w:pPr>
        <w:pStyle w:val="BodyText"/>
        <w:spacing w:line="237" w:lineRule="auto" w:before="1"/>
        <w:ind w:right="13123"/>
      </w:pPr>
      <w:r>
        <w:rPr/>
        <w:t>Acting National Manager Excise Branch</w:t>
      </w:r>
    </w:p>
    <w:p>
      <w:pPr>
        <w:pStyle w:val="BodyText"/>
        <w:spacing w:line="446" w:lineRule="auto"/>
        <w:ind w:right="13123"/>
      </w:pPr>
      <w:r>
        <w:rPr/>
        <w:t>For Chief Executive Officer July 1998</w:t>
      </w:r>
    </w:p>
    <w:sectPr>
      <w:pgSz w:w="16840" w:h="11900" w:orient="landscape"/>
      <w:pgMar w:top="50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8"/>
    </w:pPr>
    <w:rPr>
      <w:rFonts w:ascii="Arial" w:hAnsi="Arial" w:eastAsia="Arial" w:cs="Arial"/>
      <w:sz w:val="19"/>
      <w:szCs w:val="19"/>
    </w:rPr>
  </w:style>
  <w:style w:styleId="Heading1" w:type="paragraph">
    <w:name w:val="Heading 1"/>
    <w:basedOn w:val="Normal"/>
    <w:uiPriority w:val="1"/>
    <w:qFormat/>
    <w:pPr>
      <w:ind w:left="108"/>
      <w:outlineLvl w:val="1"/>
    </w:pPr>
    <w:rPr>
      <w:rFonts w:ascii="Arial" w:hAnsi="Arial" w:eastAsia="Arial" w:cs="Arial"/>
      <w:b/>
      <w:bCs/>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1"/>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2020-12-09T23:19:14Z</dcterms:created>
  <dcterms:modified xsi:type="dcterms:W3CDTF">2020-12-09T23:19:14Z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