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53</w:t>
      </w:r>
    </w:p>
    <w:p>
      <w:pPr>
        <w:spacing w:line="312" w:lineRule="auto" w:before="390"/>
        <w:ind w:left="100" w:right="0" w:firstLine="0"/>
        <w:jc w:val="left"/>
        <w:rPr>
          <w:b/>
          <w:sz w:val="36"/>
        </w:rPr>
      </w:pPr>
      <w:r>
        <w:rPr>
          <w:b/>
          <w:color w:val="202020"/>
          <w:sz w:val="36"/>
        </w:rPr>
        <w:t>ANTI-DUMPING AUTHORITY CONTINUATION INQUIRY - CLEAR FLOAT GLASS FROM THAILAND</w:t>
      </w:r>
    </w:p>
    <w:p>
      <w:pPr>
        <w:pStyle w:val="BodyText"/>
        <w:ind w:left="0"/>
        <w:rPr>
          <w:b/>
          <w:sz w:val="53"/>
        </w:rPr>
      </w:pPr>
    </w:p>
    <w:p>
      <w:pPr>
        <w:pStyle w:val="BodyText"/>
        <w:spacing w:line="241" w:lineRule="exact"/>
      </w:pPr>
      <w:r>
        <w:rPr/>
        <w:t>The Anti-Dumping Authority has advised the Australian</w:t>
      </w:r>
    </w:p>
    <w:p>
      <w:pPr>
        <w:pStyle w:val="BodyText"/>
        <w:spacing w:line="241" w:lineRule="exact"/>
      </w:pPr>
      <w:r>
        <w:rPr/>
        <w:t>Customs Service of the following which is reproduced below for information.</w:t>
      </w:r>
    </w:p>
    <w:p>
      <w:pPr>
        <w:pStyle w:val="BodyText"/>
        <w:ind w:left="0"/>
        <w:rPr>
          <w:sz w:val="22"/>
        </w:rPr>
      </w:pPr>
    </w:p>
    <w:p>
      <w:pPr>
        <w:pStyle w:val="BodyText"/>
        <w:spacing w:line="241" w:lineRule="exact" w:before="196"/>
      </w:pPr>
      <w:r>
        <w:rPr/>
        <w:t>'The Anti-Dumping Authority has completed its</w:t>
      </w:r>
    </w:p>
    <w:p>
      <w:pPr>
        <w:pStyle w:val="BodyText"/>
        <w:ind w:right="1632"/>
      </w:pPr>
      <w:r>
        <w:rPr/>
        <w:t>inquiry into whether dumping duties currently applying to exports to Australia of clear float glass (CFG) from Thailand (except for exports from Bangkok Float Glass Co Ltd) should be continued beyond their scheduled expiry date of 29 September 1998.</w:t>
      </w:r>
    </w:p>
    <w:p>
      <w:pPr>
        <w:pStyle w:val="BodyText"/>
        <w:ind w:left="0"/>
        <w:rPr>
          <w:sz w:val="22"/>
        </w:rPr>
      </w:pPr>
    </w:p>
    <w:p>
      <w:pPr>
        <w:pStyle w:val="BodyText"/>
        <w:spacing w:line="241" w:lineRule="exact" w:before="191"/>
      </w:pPr>
      <w:r>
        <w:rPr/>
        <w:t>The Authority was not satisfied that the expiry of the</w:t>
      </w:r>
    </w:p>
    <w:p>
      <w:pPr>
        <w:pStyle w:val="BodyText"/>
        <w:ind w:right="1724"/>
      </w:pPr>
      <w:r>
        <w:rPr/>
        <w:t>duties would lead, or be likely to lead, to a recurrence of the material injury which the duties were intended to prevent.</w:t>
      </w:r>
    </w:p>
    <w:p>
      <w:pPr>
        <w:pStyle w:val="BodyText"/>
        <w:ind w:left="0"/>
        <w:rPr>
          <w:sz w:val="22"/>
        </w:rPr>
      </w:pPr>
    </w:p>
    <w:p>
      <w:pPr>
        <w:pStyle w:val="BodyText"/>
        <w:spacing w:before="194"/>
        <w:ind w:right="4110"/>
      </w:pPr>
      <w:r>
        <w:rPr/>
        <w:t>Accordingly, the Authority recommended to the Minister that he take no action to continue the dumping duties.</w:t>
      </w:r>
    </w:p>
    <w:p>
      <w:pPr>
        <w:pStyle w:val="BodyText"/>
        <w:ind w:left="0"/>
        <w:rPr>
          <w:sz w:val="22"/>
        </w:rPr>
      </w:pPr>
    </w:p>
    <w:p>
      <w:pPr>
        <w:pStyle w:val="BodyText"/>
        <w:spacing w:line="241" w:lineRule="exact" w:before="194"/>
      </w:pPr>
      <w:r>
        <w:rPr/>
        <w:t>The Minister has accepted the Authority's</w:t>
      </w:r>
    </w:p>
    <w:p>
      <w:pPr>
        <w:pStyle w:val="BodyText"/>
        <w:spacing w:line="241" w:lineRule="exact"/>
      </w:pPr>
      <w:r>
        <w:rPr/>
        <w:t>recommendation and, as a consequence, the dumping duties will expire on 29 September 1998.</w:t>
      </w:r>
    </w:p>
    <w:p>
      <w:pPr>
        <w:pStyle w:val="BodyText"/>
        <w:ind w:left="0"/>
        <w:rPr>
          <w:sz w:val="22"/>
        </w:rPr>
      </w:pPr>
    </w:p>
    <w:p>
      <w:pPr>
        <w:pStyle w:val="BodyText"/>
        <w:spacing w:line="241" w:lineRule="exact" w:before="195"/>
      </w:pPr>
      <w:r>
        <w:rPr/>
        <w:t>Copies of the non-confidential version of the</w:t>
      </w:r>
    </w:p>
    <w:p>
      <w:pPr>
        <w:pStyle w:val="BodyText"/>
        <w:spacing w:line="240" w:lineRule="exact"/>
      </w:pPr>
      <w:r>
        <w:rPr/>
        <w:t>Authority's Report no. 191 will be available in due course. Inquiries for copies</w:t>
      </w:r>
    </w:p>
    <w:p>
      <w:pPr>
        <w:pStyle w:val="BodyText"/>
        <w:ind w:right="456"/>
      </w:pPr>
      <w:r>
        <w:rPr/>
        <w:t>should be addressed to the Information Officer, Ms Margaret McLeod, at the Authority on telephone (02) 6213 6754 or email </w:t>
      </w:r>
      <w:hyperlink r:id="rId5">
        <w:r>
          <w:rPr>
            <w:color w:val="0F64C7"/>
          </w:rPr>
          <w:t>MMCLEOD@dist.gov.au</w:t>
        </w:r>
      </w:hyperlink>
      <w:r>
        <w:rPr/>
        <w:t>.'</w:t>
      </w:r>
    </w:p>
    <w:p>
      <w:pPr>
        <w:pStyle w:val="BodyText"/>
        <w:ind w:left="0"/>
        <w:rPr>
          <w:sz w:val="22"/>
        </w:rPr>
      </w:pPr>
    </w:p>
    <w:p>
      <w:pPr>
        <w:pStyle w:val="BodyText"/>
        <w:spacing w:before="194"/>
        <w:ind w:right="5039"/>
      </w:pPr>
      <w:r>
        <w:rPr/>
        <w:t>A copy of the summary and conclusions from the Authority's Report is attached for information.</w:t>
      </w:r>
    </w:p>
    <w:p>
      <w:pPr>
        <w:pStyle w:val="BodyText"/>
        <w:ind w:left="0"/>
        <w:rPr>
          <w:sz w:val="22"/>
        </w:rPr>
      </w:pPr>
    </w:p>
    <w:p>
      <w:pPr>
        <w:pStyle w:val="BodyText"/>
        <w:ind w:left="0"/>
        <w:rPr>
          <w:sz w:val="22"/>
        </w:rPr>
      </w:pPr>
    </w:p>
    <w:p>
      <w:pPr>
        <w:pStyle w:val="BodyText"/>
        <w:ind w:left="0"/>
        <w:rPr>
          <w:sz w:val="22"/>
        </w:rPr>
      </w:pPr>
    </w:p>
    <w:p>
      <w:pPr>
        <w:pStyle w:val="BodyText"/>
        <w:spacing w:line="477" w:lineRule="auto" w:before="168"/>
        <w:ind w:right="7922"/>
      </w:pPr>
      <w:r>
        <w:rPr/>
        <w:t>Paul O'Connor National Manager</w:t>
      </w:r>
    </w:p>
    <w:p>
      <w:pPr>
        <w:pStyle w:val="BodyText"/>
        <w:spacing w:line="477" w:lineRule="auto"/>
        <w:ind w:right="7122"/>
      </w:pPr>
      <w:r>
        <w:rPr/>
        <w:t>Trade Measures Branch for Chief Executive Officer CANBERRA ACT 2601</w:t>
      </w:r>
    </w:p>
    <w:p>
      <w:pPr>
        <w:pStyle w:val="BodyText"/>
        <w:ind w:left="0"/>
        <w:rPr>
          <w:sz w:val="18"/>
        </w:rPr>
      </w:pPr>
    </w:p>
    <w:p>
      <w:pPr>
        <w:pStyle w:val="BodyText"/>
      </w:pPr>
      <w:r>
        <w:rPr/>
        <w:t>14 September 1998</w:t>
      </w:r>
    </w:p>
    <w:sectPr>
      <w:type w:val="continuous"/>
      <w:pgSz w:w="11900" w:h="16840"/>
      <w:pgMar w:top="700" w:bottom="280" w:left="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MCLEOD@dist.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2020-12-09T22:21:15Z</dcterms:created>
  <dcterms:modified xsi:type="dcterms:W3CDTF">2020-12-09T22:21:15Z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