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1998 71</w:t>
      </w:r>
    </w:p>
    <w:p>
      <w:pPr>
        <w:spacing w:line="316" w:lineRule="auto" w:before="357"/>
        <w:ind w:left="108" w:right="317" w:firstLine="0"/>
        <w:jc w:val="left"/>
        <w:rPr>
          <w:b/>
          <w:sz w:val="32"/>
        </w:rPr>
      </w:pPr>
      <w:r>
        <w:rPr>
          <w:b/>
          <w:color w:val="202020"/>
          <w:sz w:val="32"/>
        </w:rPr>
        <w:t>CUSTOMS TARIFF ACT 1995 SCHEDULE 4 - ITEM 42 - VESSEL CONSTRUCTION, MODIFICATION AND REPAIR</w:t>
      </w:r>
    </w:p>
    <w:p>
      <w:pPr>
        <w:pStyle w:val="Heading1"/>
        <w:numPr>
          <w:ilvl w:val="0"/>
          <w:numId w:val="1"/>
        </w:numPr>
        <w:tabs>
          <w:tab w:pos="319" w:val="left" w:leader="none"/>
        </w:tabs>
        <w:spacing w:line="240" w:lineRule="auto" w:before="138" w:after="0"/>
        <w:ind w:left="318" w:right="0" w:hanging="211"/>
        <w:jc w:val="left"/>
      </w:pPr>
      <w:r>
        <w:rPr/>
        <w:t>Introduction</w:t>
      </w:r>
    </w:p>
    <w:p>
      <w:pPr>
        <w:pStyle w:val="BodyText"/>
        <w:spacing w:before="5"/>
        <w:rPr>
          <w:b/>
          <w:sz w:val="16"/>
        </w:rPr>
      </w:pPr>
    </w:p>
    <w:p>
      <w:pPr>
        <w:pStyle w:val="BodyText"/>
        <w:spacing w:line="237" w:lineRule="auto"/>
        <w:ind w:left="108"/>
      </w:pPr>
      <w:r>
        <w:rPr/>
        <w:t>This Australian Customs Notice (ACN) provides guidance to importers who seek to use </w:t>
      </w:r>
      <w:r>
        <w:rPr>
          <w:i/>
        </w:rPr>
        <w:t>item </w:t>
      </w:r>
      <w:r>
        <w:rPr/>
        <w:t>42 of Schedule 4 to the </w:t>
      </w:r>
      <w:r>
        <w:rPr>
          <w:i/>
        </w:rPr>
        <w:t>Customs </w:t>
      </w:r>
      <w:r>
        <w:rPr>
          <w:i/>
          <w:spacing w:val="-3"/>
        </w:rPr>
        <w:t>Tariff </w:t>
      </w:r>
      <w:r>
        <w:rPr>
          <w:i/>
        </w:rPr>
        <w:t>Act 1995 </w:t>
      </w:r>
      <w:r>
        <w:rPr/>
        <w:t>(the </w:t>
      </w:r>
      <w:r>
        <w:rPr>
          <w:spacing w:val="-4"/>
        </w:rPr>
        <w:t>Tariff) </w:t>
      </w:r>
      <w:r>
        <w:rPr/>
        <w:t>to obtain concessional entry of goods.</w:t>
      </w:r>
    </w:p>
    <w:p>
      <w:pPr>
        <w:pStyle w:val="BodyText"/>
        <w:spacing w:before="6"/>
        <w:rPr>
          <w:sz w:val="16"/>
        </w:rPr>
      </w:pPr>
    </w:p>
    <w:p>
      <w:pPr>
        <w:pStyle w:val="BodyText"/>
        <w:spacing w:line="237" w:lineRule="auto"/>
        <w:ind w:left="108" w:right="317"/>
      </w:pPr>
      <w:r>
        <w:rPr/>
        <w:t>Schedule 3 to the </w:t>
      </w:r>
      <w:r>
        <w:rPr>
          <w:spacing w:val="-5"/>
        </w:rPr>
        <w:t>Tariff </w:t>
      </w:r>
      <w:r>
        <w:rPr/>
        <w:t>establishes the rate of duty to be paid on goods imported into Australia. Sections 8 and 18 of the </w:t>
      </w:r>
      <w:r>
        <w:rPr>
          <w:spacing w:val="-5"/>
        </w:rPr>
        <w:t>Tariff </w:t>
      </w:r>
      <w:r>
        <w:rPr/>
        <w:t>provide the authority for goods specified in Schedule 4 to the </w:t>
      </w:r>
      <w:r>
        <w:rPr>
          <w:spacing w:val="-5"/>
        </w:rPr>
        <w:t>Tariff </w:t>
      </w:r>
      <w:r>
        <w:rPr/>
        <w:t>to enter at a rate below that set out in Schedule 3. Goods to which </w:t>
      </w:r>
      <w:r>
        <w:rPr>
          <w:i/>
        </w:rPr>
        <w:t>item </w:t>
      </w:r>
      <w:r>
        <w:rPr/>
        <w:t>42 of Schedule 4 to the </w:t>
      </w:r>
      <w:r>
        <w:rPr>
          <w:spacing w:val="-5"/>
        </w:rPr>
        <w:t>Tariff </w:t>
      </w:r>
      <w:r>
        <w:rPr/>
        <w:t>applies, are therefore eligible for duty free </w:t>
      </w:r>
      <w:r>
        <w:rPr>
          <w:spacing w:val="-3"/>
        </w:rPr>
        <w:t>entry.</w:t>
      </w:r>
    </w:p>
    <w:p>
      <w:pPr>
        <w:pStyle w:val="BodyText"/>
        <w:spacing w:before="4"/>
        <w:rPr>
          <w:sz w:val="16"/>
        </w:rPr>
      </w:pPr>
    </w:p>
    <w:p>
      <w:pPr>
        <w:pStyle w:val="Heading1"/>
        <w:numPr>
          <w:ilvl w:val="0"/>
          <w:numId w:val="1"/>
        </w:numPr>
        <w:tabs>
          <w:tab w:pos="319" w:val="left" w:leader="none"/>
        </w:tabs>
        <w:spacing w:line="240" w:lineRule="auto" w:before="0" w:after="0"/>
        <w:ind w:left="318" w:right="0" w:hanging="211"/>
        <w:jc w:val="left"/>
      </w:pPr>
      <w:r>
        <w:rPr/>
        <w:t>Background</w:t>
      </w:r>
    </w:p>
    <w:p>
      <w:pPr>
        <w:pStyle w:val="BodyText"/>
        <w:spacing w:before="3"/>
        <w:rPr>
          <w:b/>
          <w:sz w:val="16"/>
        </w:rPr>
      </w:pPr>
    </w:p>
    <w:p>
      <w:pPr>
        <w:pStyle w:val="BodyText"/>
        <w:ind w:left="108"/>
      </w:pPr>
      <w:r>
        <w:rPr/>
        <w:t>Item 42 is intended to provide assistance to the Australian ship building industry by reducing input costs to shipbuilders. </w:t>
      </w:r>
      <w:r>
        <w:rPr>
          <w:i/>
        </w:rPr>
        <w:t>Item </w:t>
      </w:r>
      <w:r>
        <w:rPr/>
        <w:t>42 reads:</w:t>
      </w:r>
    </w:p>
    <w:p>
      <w:pPr>
        <w:pStyle w:val="BodyText"/>
        <w:spacing w:before="3"/>
        <w:rPr>
          <w:sz w:val="16"/>
        </w:rPr>
      </w:pPr>
    </w:p>
    <w:p>
      <w:pPr>
        <w:spacing w:before="1"/>
        <w:ind w:left="108" w:right="0" w:firstLine="0"/>
        <w:jc w:val="left"/>
        <w:rPr>
          <w:i/>
          <w:sz w:val="19"/>
        </w:rPr>
      </w:pPr>
      <w:r>
        <w:rPr>
          <w:i/>
          <w:sz w:val="19"/>
        </w:rPr>
        <w:t>"Parts of vessels, and materials, for use in the construction, modification and repair of vessels exceeding 150 gross construction tons as defined in the Bounty (Ships) Act 1989."</w:t>
      </w:r>
    </w:p>
    <w:p>
      <w:pPr>
        <w:pStyle w:val="BodyText"/>
        <w:spacing w:before="3"/>
        <w:rPr>
          <w:i/>
          <w:sz w:val="16"/>
        </w:rPr>
      </w:pPr>
    </w:p>
    <w:p>
      <w:pPr>
        <w:pStyle w:val="BodyText"/>
        <w:spacing w:line="217" w:lineRule="exact"/>
        <w:ind w:left="108"/>
      </w:pPr>
      <w:r>
        <w:rPr/>
        <w:t>In accordance with subsection 4(3) of the </w:t>
      </w:r>
      <w:r>
        <w:rPr>
          <w:i/>
        </w:rPr>
        <w:t>Bounty (Ships) Act 1989</w:t>
      </w:r>
      <w:r>
        <w:rPr/>
        <w:t>, the number of tons in the gross construction tonnage of a vessel shall be ascertained in accordance with the formula:</w:t>
      </w:r>
    </w:p>
    <w:p>
      <w:pPr>
        <w:pStyle w:val="BodyText"/>
        <w:spacing w:line="217" w:lineRule="exact"/>
        <w:ind w:left="108"/>
      </w:pPr>
      <w:r>
        <w:rPr/>
        <w:t>Z / 2.83</w:t>
      </w:r>
    </w:p>
    <w:p>
      <w:pPr>
        <w:pStyle w:val="BodyText"/>
        <w:spacing w:before="5"/>
        <w:rPr>
          <w:sz w:val="16"/>
        </w:rPr>
      </w:pPr>
    </w:p>
    <w:p>
      <w:pPr>
        <w:pStyle w:val="BodyText"/>
        <w:spacing w:line="237" w:lineRule="auto"/>
        <w:ind w:left="108" w:right="273"/>
      </w:pPr>
      <w:r>
        <w:rPr/>
        <w:t>where Z is a number equal to the number of cubic metres in the total volume, measured in relation to their moulded lines, of the enclosed spaces in the vessel, including between-deck spaces, water ballast spaces, voids, cofferdams, machinery spaces, erections, superstructures, houses, casings, funnel spaces, mast spaces and, in the case of an air-cushion vehicle, the area enclosed by the inflatable skirt under normal inflation.</w:t>
      </w:r>
    </w:p>
    <w:p>
      <w:pPr>
        <w:pStyle w:val="BodyText"/>
        <w:spacing w:before="4"/>
        <w:rPr>
          <w:sz w:val="16"/>
        </w:rPr>
      </w:pPr>
    </w:p>
    <w:p>
      <w:pPr>
        <w:pStyle w:val="Heading1"/>
        <w:numPr>
          <w:ilvl w:val="0"/>
          <w:numId w:val="1"/>
        </w:numPr>
        <w:tabs>
          <w:tab w:pos="319" w:val="left" w:leader="none"/>
        </w:tabs>
        <w:spacing w:line="240" w:lineRule="auto" w:before="0" w:after="0"/>
        <w:ind w:left="318" w:right="0" w:hanging="211"/>
        <w:jc w:val="left"/>
      </w:pPr>
      <w:r>
        <w:rPr/>
        <w:t>Guidelines</w:t>
      </w:r>
    </w:p>
    <w:p>
      <w:pPr>
        <w:pStyle w:val="BodyText"/>
        <w:spacing w:before="3"/>
        <w:rPr>
          <w:b/>
          <w:sz w:val="16"/>
        </w:rPr>
      </w:pPr>
    </w:p>
    <w:p>
      <w:pPr>
        <w:pStyle w:val="BodyText"/>
        <w:spacing w:before="1"/>
        <w:ind w:left="108"/>
      </w:pPr>
      <w:r>
        <w:rPr/>
        <w:t>In order to gain concessional entry under </w:t>
      </w:r>
      <w:r>
        <w:rPr>
          <w:i/>
        </w:rPr>
        <w:t>item </w:t>
      </w:r>
      <w:r>
        <w:rPr/>
        <w:t>42, importers must demonstrate that the goods are:</w:t>
      </w:r>
    </w:p>
    <w:p>
      <w:pPr>
        <w:pStyle w:val="BodyText"/>
        <w:spacing w:before="3"/>
        <w:rPr>
          <w:sz w:val="16"/>
        </w:rPr>
      </w:pPr>
    </w:p>
    <w:p>
      <w:pPr>
        <w:pStyle w:val="ListParagraph"/>
        <w:numPr>
          <w:ilvl w:val="0"/>
          <w:numId w:val="2"/>
        </w:numPr>
        <w:tabs>
          <w:tab w:pos="374" w:val="left" w:leader="none"/>
        </w:tabs>
        <w:spacing w:line="240" w:lineRule="auto" w:before="0" w:after="0"/>
        <w:ind w:left="373" w:right="0" w:hanging="212"/>
        <w:jc w:val="left"/>
        <w:rPr>
          <w:sz w:val="19"/>
        </w:rPr>
      </w:pPr>
      <w:r>
        <w:rPr>
          <w:sz w:val="19"/>
        </w:rPr>
        <w:t>parts of vessels, or materials;</w:t>
      </w:r>
      <w:r>
        <w:rPr>
          <w:spacing w:val="-6"/>
          <w:sz w:val="19"/>
        </w:rPr>
        <w:t> </w:t>
      </w:r>
      <w:r>
        <w:rPr>
          <w:sz w:val="19"/>
        </w:rPr>
        <w:t>and</w:t>
      </w:r>
    </w:p>
    <w:p>
      <w:pPr>
        <w:pStyle w:val="BodyText"/>
        <w:spacing w:before="7"/>
        <w:rPr>
          <w:sz w:val="18"/>
        </w:rPr>
      </w:pPr>
    </w:p>
    <w:p>
      <w:pPr>
        <w:pStyle w:val="ListParagraph"/>
        <w:numPr>
          <w:ilvl w:val="0"/>
          <w:numId w:val="2"/>
        </w:numPr>
        <w:tabs>
          <w:tab w:pos="374" w:val="left" w:leader="none"/>
        </w:tabs>
        <w:spacing w:line="240" w:lineRule="auto" w:before="0" w:after="0"/>
        <w:ind w:left="373" w:right="0" w:hanging="212"/>
        <w:jc w:val="left"/>
        <w:rPr>
          <w:sz w:val="19"/>
        </w:rPr>
      </w:pPr>
      <w:r>
        <w:rPr>
          <w:sz w:val="19"/>
        </w:rPr>
        <w:t>for use in the construction, modification or repair of</w:t>
      </w:r>
      <w:r>
        <w:rPr>
          <w:spacing w:val="-10"/>
          <w:sz w:val="19"/>
        </w:rPr>
        <w:t> </w:t>
      </w:r>
      <w:r>
        <w:rPr>
          <w:sz w:val="19"/>
        </w:rPr>
        <w:t>vessels.</w:t>
      </w:r>
    </w:p>
    <w:p>
      <w:pPr>
        <w:pStyle w:val="BodyText"/>
        <w:spacing w:before="4"/>
        <w:rPr>
          <w:sz w:val="16"/>
        </w:rPr>
      </w:pPr>
    </w:p>
    <w:p>
      <w:pPr>
        <w:pStyle w:val="BodyText"/>
        <w:spacing w:line="446" w:lineRule="auto"/>
        <w:ind w:left="108" w:right="2931"/>
        <w:rPr>
          <w:b/>
        </w:rPr>
      </w:pPr>
      <w:r>
        <w:rPr/>
        <w:t>In administering the entry of goods under </w:t>
      </w:r>
      <w:r>
        <w:rPr>
          <w:i/>
        </w:rPr>
        <w:t>item </w:t>
      </w:r>
      <w:r>
        <w:rPr/>
        <w:t>42, Customs will construe the terms of that item according to the guidelines set out in this ACN. </w:t>
      </w:r>
      <w:r>
        <w:rPr>
          <w:b/>
        </w:rPr>
        <w:t>"Vessels"</w:t>
      </w:r>
    </w:p>
    <w:p>
      <w:pPr>
        <w:pStyle w:val="BodyText"/>
        <w:spacing w:line="237" w:lineRule="auto"/>
        <w:ind w:left="108" w:right="705"/>
      </w:pPr>
      <w:r>
        <w:rPr/>
        <w:t>A vessel for the purposes of </w:t>
      </w:r>
      <w:r>
        <w:rPr>
          <w:i/>
        </w:rPr>
        <w:t>item </w:t>
      </w:r>
      <w:r>
        <w:rPr/>
        <w:t>42 is a vessel which exceeds 150 gross construction tons. The number of tons in the gross construction tonnage is ascertained using the formula provided in the </w:t>
      </w:r>
      <w:r>
        <w:rPr>
          <w:i/>
        </w:rPr>
        <w:t>Bounty (Ships) Act 1989</w:t>
      </w:r>
      <w:r>
        <w:rPr/>
        <w:t>, set out on the first page of this ACN. Such a vessel would:</w:t>
      </w:r>
    </w:p>
    <w:p>
      <w:pPr>
        <w:pStyle w:val="BodyText"/>
        <w:spacing w:before="4"/>
        <w:rPr>
          <w:sz w:val="16"/>
        </w:rPr>
      </w:pPr>
    </w:p>
    <w:p>
      <w:pPr>
        <w:pStyle w:val="BodyText"/>
        <w:ind w:left="373"/>
      </w:pPr>
      <w:r>
        <w:rPr/>
        <w:pict>
          <v:shape style="position:absolute;margin-left:37.793461pt;margin-top:4.852371pt;width:2.75pt;height:2.75pt;mso-position-horizontal-relative:page;mso-position-vertical-relative:paragraph;z-index:15728640" coordorigin="756,97" coordsize="55,55" path="m801,151l765,151,756,142,756,106,765,97,801,97,810,106,810,124,810,142,801,151xe" filled="true" fillcolor="#000000" stroked="false">
            <v:path arrowok="t"/>
            <v:fill type="solid"/>
            <w10:wrap type="none"/>
          </v:shape>
        </w:pict>
      </w:r>
      <w:r>
        <w:rPr/>
        <w:t>normally be classified in Chapter 89 of the Tariff, other than heading 8907 or 8908</w:t>
      </w:r>
    </w:p>
    <w:p>
      <w:pPr>
        <w:pStyle w:val="BodyText"/>
        <w:spacing w:before="6"/>
        <w:rPr>
          <w:sz w:val="10"/>
        </w:rPr>
      </w:pPr>
    </w:p>
    <w:p>
      <w:pPr>
        <w:pStyle w:val="BodyText"/>
        <w:spacing w:before="94"/>
        <w:ind w:left="373"/>
      </w:pPr>
      <w:r>
        <w:rPr/>
        <w:pict>
          <v:shape style="position:absolute;margin-left:37.793461pt;margin-top:9.552371pt;width:2.75pt;height:2.75pt;mso-position-horizontal-relative:page;mso-position-vertical-relative:paragraph;z-index:15729152" coordorigin="756,191" coordsize="55,55" path="m801,245l765,245,756,236,756,200,765,191,801,191,810,200,810,218,810,236,801,245xe" filled="true" fillcolor="#000000" stroked="false">
            <v:path arrowok="t"/>
            <v:fill type="solid"/>
            <w10:wrap type="none"/>
          </v:shape>
        </w:pict>
      </w:r>
      <w:r>
        <w:rPr/>
        <w:t>operate in the marine environment; and</w:t>
      </w:r>
    </w:p>
    <w:p>
      <w:pPr>
        <w:pStyle w:val="BodyText"/>
        <w:spacing w:before="6"/>
        <w:rPr>
          <w:sz w:val="10"/>
        </w:rPr>
      </w:pPr>
    </w:p>
    <w:p>
      <w:pPr>
        <w:pStyle w:val="BodyText"/>
        <w:spacing w:before="93"/>
        <w:ind w:left="373"/>
      </w:pPr>
      <w:r>
        <w:rPr/>
        <w:pict>
          <v:shape style="position:absolute;margin-left:37.793461pt;margin-top:9.502372pt;width:2.75pt;height:2.75pt;mso-position-horizontal-relative:page;mso-position-vertical-relative:paragraph;z-index:15729664" coordorigin="756,190" coordsize="55,55" path="m801,244l765,244,756,235,756,199,765,190,801,190,810,199,810,217,810,235,801,244xe" filled="true" fillcolor="#000000" stroked="false">
            <v:path arrowok="t"/>
            <v:fill type="solid"/>
            <w10:wrap type="none"/>
          </v:shape>
        </w:pict>
      </w:r>
      <w:r>
        <w:rPr/>
        <w:t>generally have the characteristic of being navigable, irrespective of how this is achieved.</w:t>
      </w:r>
    </w:p>
    <w:p>
      <w:pPr>
        <w:spacing w:after="0"/>
        <w:sectPr>
          <w:type w:val="continuous"/>
          <w:pgSz w:w="16840" w:h="11900" w:orient="landscape"/>
          <w:pgMar w:top="680" w:bottom="280" w:left="580" w:right="440"/>
        </w:sectPr>
      </w:pPr>
    </w:p>
    <w:p>
      <w:pPr>
        <w:pStyle w:val="Heading1"/>
        <w:spacing w:before="77"/>
      </w:pPr>
      <w:r>
        <w:rPr/>
        <w:t>"Parts"</w:t>
      </w:r>
    </w:p>
    <w:p>
      <w:pPr>
        <w:pStyle w:val="BodyText"/>
        <w:spacing w:before="5"/>
        <w:rPr>
          <w:b/>
          <w:sz w:val="16"/>
        </w:rPr>
      </w:pPr>
    </w:p>
    <w:p>
      <w:pPr>
        <w:pStyle w:val="BodyText"/>
        <w:spacing w:line="237" w:lineRule="auto" w:before="1"/>
        <w:ind w:left="108" w:right="401"/>
      </w:pPr>
      <w:r>
        <w:rPr/>
        <w:t>The word "part" normally connotes something which is a constituent or component of the whole entity without which the entity would not function as such an article. In </w:t>
      </w:r>
      <w:r>
        <w:rPr>
          <w:i/>
        </w:rPr>
        <w:t>item </w:t>
      </w:r>
      <w:r>
        <w:rPr/>
        <w:t>42, the expression "parts of vessels" means something which is a constituent or component of the whole vessel, without which the vessel would not function as a vessel. It does not extend to goods which may become parts of vessels post importation.</w:t>
      </w:r>
    </w:p>
    <w:p>
      <w:pPr>
        <w:pStyle w:val="BodyText"/>
        <w:spacing w:before="5"/>
        <w:rPr>
          <w:sz w:val="16"/>
        </w:rPr>
      </w:pPr>
    </w:p>
    <w:p>
      <w:pPr>
        <w:pStyle w:val="BodyText"/>
        <w:spacing w:line="237" w:lineRule="auto"/>
        <w:ind w:left="108" w:right="684"/>
      </w:pPr>
      <w:r>
        <w:rPr/>
        <w:t>The main factor indicating that an article is a part of a vessel is whether that article is subsumed into the vessel and is permanently fixed or designed to be permanently fixed to the vessel. Other factors include:</w:t>
      </w:r>
    </w:p>
    <w:p>
      <w:pPr>
        <w:pStyle w:val="BodyText"/>
        <w:spacing w:before="4"/>
        <w:rPr>
          <w:sz w:val="16"/>
        </w:rPr>
      </w:pPr>
    </w:p>
    <w:p>
      <w:pPr>
        <w:pStyle w:val="BodyText"/>
        <w:ind w:left="373"/>
      </w:pPr>
      <w:r>
        <w:rPr/>
        <w:pict>
          <v:shape style="position:absolute;margin-left:37.793461pt;margin-top:4.852379pt;width:2.75pt;height:2.75pt;mso-position-horizontal-relative:page;mso-position-vertical-relative:paragraph;z-index:15730176" coordorigin="756,97" coordsize="55,55" path="m801,151l765,151,756,142,756,106,765,97,801,97,810,106,810,124,810,142,801,151xe" filled="true" fillcolor="#000000" stroked="false">
            <v:path arrowok="t"/>
            <v:fill type="solid"/>
            <w10:wrap type="none"/>
          </v:shape>
        </w:pict>
      </w:r>
      <w:r>
        <w:rPr/>
        <w:t>whether the article is so committed by design or manufacture that it can only be used as a component of a vessel; or</w:t>
      </w:r>
    </w:p>
    <w:p>
      <w:pPr>
        <w:pStyle w:val="BodyText"/>
        <w:spacing w:before="6"/>
        <w:rPr>
          <w:sz w:val="10"/>
        </w:rPr>
      </w:pPr>
    </w:p>
    <w:p>
      <w:pPr>
        <w:pStyle w:val="BodyText"/>
        <w:spacing w:line="237" w:lineRule="auto" w:before="96"/>
        <w:ind w:left="373" w:right="341"/>
      </w:pPr>
      <w:r>
        <w:rPr/>
        <w:pict>
          <v:shape style="position:absolute;margin-left:37.793461pt;margin-top:9.563263pt;width:2.75pt;height:2.75pt;mso-position-horizontal-relative:page;mso-position-vertical-relative:paragraph;z-index:15730688" coordorigin="756,191" coordsize="55,55" path="m801,245l765,245,756,236,756,200,765,191,801,191,810,200,810,218,810,236,801,245xe" filled="true" fillcolor="#000000" stroked="false">
            <v:path arrowok="t"/>
            <v:fill type="solid"/>
            <w10:wrap type="none"/>
          </v:shape>
        </w:pict>
      </w:r>
      <w:r>
        <w:rPr/>
        <w:t>whether the article is necessary for the completion of the vessel. Whilst this does not necessarily mean that the article is a part, it distinguishes "parts" of vessels from "accessories" to vessels.</w:t>
      </w:r>
    </w:p>
    <w:p>
      <w:pPr>
        <w:pStyle w:val="BodyText"/>
        <w:spacing w:before="3"/>
        <w:rPr>
          <w:sz w:val="16"/>
        </w:rPr>
      </w:pPr>
    </w:p>
    <w:p>
      <w:pPr>
        <w:pStyle w:val="BodyText"/>
        <w:spacing w:before="1"/>
        <w:ind w:left="108"/>
      </w:pPr>
      <w:r>
        <w:rPr/>
        <w:t>Articles that are not necessary to the functioning of the vessel may still be parts of vessels if they are built into the vessel in the course of manufacture.</w:t>
      </w:r>
    </w:p>
    <w:p>
      <w:pPr>
        <w:pStyle w:val="BodyText"/>
        <w:spacing w:before="4"/>
        <w:rPr>
          <w:sz w:val="16"/>
        </w:rPr>
      </w:pPr>
    </w:p>
    <w:p>
      <w:pPr>
        <w:pStyle w:val="BodyText"/>
        <w:spacing w:line="237" w:lineRule="auto" w:before="1"/>
        <w:ind w:left="108" w:right="822"/>
      </w:pPr>
      <w:r>
        <w:rPr/>
        <w:t>Articles of a portable nature, whether or not attached to the vessel for the sake of convenience, are unlikely to be parts of vessels. For example, furniture, crockery, linen, jet skis, bicycles, domestic appliances and hand tools are not parts of vessels. While these articles may form part of a vessel's inventory, they are not parts of that vessel.</w:t>
      </w:r>
    </w:p>
    <w:p>
      <w:pPr>
        <w:pStyle w:val="BodyText"/>
        <w:spacing w:before="5"/>
        <w:rPr>
          <w:sz w:val="16"/>
        </w:rPr>
      </w:pPr>
    </w:p>
    <w:p>
      <w:pPr>
        <w:pStyle w:val="BodyText"/>
        <w:spacing w:line="237" w:lineRule="auto"/>
        <w:ind w:left="108" w:right="358"/>
      </w:pPr>
      <w:r>
        <w:rPr/>
        <w:t>Similarly, articles used upon or in connection with vessels are not normally parts of vessels. For example rope, life jackets, buoys, runabouts, zodiacs, lifeboats, life-rafts, drill pipe, drill strings, marine risers, blow-out preventers and saturation diving systems are not parts of vessels.</w:t>
      </w:r>
    </w:p>
    <w:p>
      <w:pPr>
        <w:pStyle w:val="BodyText"/>
        <w:spacing w:before="4"/>
        <w:rPr>
          <w:sz w:val="16"/>
        </w:rPr>
      </w:pPr>
    </w:p>
    <w:p>
      <w:pPr>
        <w:pStyle w:val="Heading1"/>
      </w:pPr>
      <w:r>
        <w:rPr/>
        <w:t>"Materials"</w:t>
      </w:r>
    </w:p>
    <w:p>
      <w:pPr>
        <w:pStyle w:val="BodyText"/>
        <w:spacing w:before="5"/>
        <w:rPr>
          <w:b/>
          <w:sz w:val="16"/>
        </w:rPr>
      </w:pPr>
    </w:p>
    <w:p>
      <w:pPr>
        <w:pStyle w:val="BodyText"/>
        <w:spacing w:line="237" w:lineRule="auto" w:before="1"/>
        <w:ind w:left="108" w:right="569"/>
      </w:pPr>
      <w:r>
        <w:rPr/>
        <w:t>The word "materials" normally means the substance or substances of which a thing is made or composed; anything serving as crude or raw matter for working upon or developing. In</w:t>
      </w:r>
      <w:r>
        <w:rPr>
          <w:spacing w:val="-3"/>
        </w:rPr>
        <w:t> </w:t>
      </w:r>
      <w:r>
        <w:rPr>
          <w:i/>
        </w:rPr>
        <w:t>item</w:t>
      </w:r>
      <w:r>
        <w:rPr>
          <w:i/>
          <w:spacing w:val="-3"/>
        </w:rPr>
        <w:t> </w:t>
      </w:r>
      <w:r>
        <w:rPr/>
        <w:t>42,</w:t>
      </w:r>
      <w:r>
        <w:rPr>
          <w:spacing w:val="-2"/>
        </w:rPr>
        <w:t> </w:t>
      </w:r>
      <w:r>
        <w:rPr/>
        <w:t>"materials"</w:t>
      </w:r>
      <w:r>
        <w:rPr>
          <w:spacing w:val="-3"/>
        </w:rPr>
        <w:t> </w:t>
      </w:r>
      <w:r>
        <w:rPr/>
        <w:t>means</w:t>
      </w:r>
      <w:r>
        <w:rPr>
          <w:spacing w:val="-2"/>
        </w:rPr>
        <w:t> </w:t>
      </w:r>
      <w:r>
        <w:rPr/>
        <w:t>the</w:t>
      </w:r>
      <w:r>
        <w:rPr>
          <w:spacing w:val="-3"/>
        </w:rPr>
        <w:t> </w:t>
      </w:r>
      <w:r>
        <w:rPr/>
        <w:t>raw</w:t>
      </w:r>
      <w:r>
        <w:rPr>
          <w:spacing w:val="-3"/>
        </w:rPr>
        <w:t> </w:t>
      </w:r>
      <w:r>
        <w:rPr/>
        <w:t>materials</w:t>
      </w:r>
      <w:r>
        <w:rPr>
          <w:spacing w:val="-2"/>
        </w:rPr>
        <w:t> </w:t>
      </w:r>
      <w:r>
        <w:rPr/>
        <w:t>of</w:t>
      </w:r>
      <w:r>
        <w:rPr>
          <w:spacing w:val="-3"/>
        </w:rPr>
        <w:t> </w:t>
      </w:r>
      <w:r>
        <w:rPr/>
        <w:t>which</w:t>
      </w:r>
      <w:r>
        <w:rPr>
          <w:spacing w:val="-2"/>
        </w:rPr>
        <w:t> </w:t>
      </w:r>
      <w:r>
        <w:rPr/>
        <w:t>a</w:t>
      </w:r>
      <w:r>
        <w:rPr>
          <w:spacing w:val="-3"/>
        </w:rPr>
        <w:t> </w:t>
      </w:r>
      <w:r>
        <w:rPr/>
        <w:t>vessel</w:t>
      </w:r>
      <w:r>
        <w:rPr>
          <w:spacing w:val="-3"/>
        </w:rPr>
        <w:t> </w:t>
      </w:r>
      <w:r>
        <w:rPr/>
        <w:t>is</w:t>
      </w:r>
      <w:r>
        <w:rPr>
          <w:spacing w:val="-2"/>
        </w:rPr>
        <w:t> </w:t>
      </w:r>
      <w:r>
        <w:rPr/>
        <w:t>made</w:t>
      </w:r>
      <w:r>
        <w:rPr>
          <w:spacing w:val="-3"/>
        </w:rPr>
        <w:t> </w:t>
      </w:r>
      <w:r>
        <w:rPr/>
        <w:t>or</w:t>
      </w:r>
      <w:r>
        <w:rPr>
          <w:spacing w:val="-2"/>
        </w:rPr>
        <w:t> </w:t>
      </w:r>
      <w:r>
        <w:rPr/>
        <w:t>composed.</w:t>
      </w:r>
      <w:r>
        <w:rPr>
          <w:spacing w:val="-3"/>
        </w:rPr>
        <w:t> </w:t>
      </w:r>
      <w:r>
        <w:rPr/>
        <w:t>Therefore</w:t>
      </w:r>
      <w:r>
        <w:rPr>
          <w:spacing w:val="-2"/>
        </w:rPr>
        <w:t> </w:t>
      </w:r>
      <w:r>
        <w:rPr/>
        <w:t>consumables</w:t>
      </w:r>
      <w:r>
        <w:rPr>
          <w:spacing w:val="-3"/>
        </w:rPr>
        <w:t> </w:t>
      </w:r>
      <w:r>
        <w:rPr/>
        <w:t>such</w:t>
      </w:r>
      <w:r>
        <w:rPr>
          <w:spacing w:val="-3"/>
        </w:rPr>
        <w:t> </w:t>
      </w:r>
      <w:r>
        <w:rPr/>
        <w:t>as</w:t>
      </w:r>
      <w:r>
        <w:rPr>
          <w:spacing w:val="-2"/>
        </w:rPr>
        <w:t> </w:t>
      </w:r>
      <w:r>
        <w:rPr/>
        <w:t>fuels,</w:t>
      </w:r>
      <w:r>
        <w:rPr>
          <w:spacing w:val="-3"/>
        </w:rPr>
        <w:t> </w:t>
      </w:r>
      <w:r>
        <w:rPr/>
        <w:t>lubricants,</w:t>
      </w:r>
      <w:r>
        <w:rPr>
          <w:spacing w:val="-2"/>
        </w:rPr>
        <w:t> </w:t>
      </w:r>
      <w:r>
        <w:rPr/>
        <w:t>gases,</w:t>
      </w:r>
      <w:r>
        <w:rPr>
          <w:spacing w:val="-3"/>
        </w:rPr>
        <w:t> </w:t>
      </w:r>
      <w:r>
        <w:rPr/>
        <w:t>cleaning</w:t>
      </w:r>
      <w:r>
        <w:rPr>
          <w:spacing w:val="-3"/>
        </w:rPr>
        <w:t> </w:t>
      </w:r>
      <w:r>
        <w:rPr/>
        <w:t>or</w:t>
      </w:r>
      <w:r>
        <w:rPr>
          <w:spacing w:val="-2"/>
        </w:rPr>
        <w:t> </w:t>
      </w:r>
      <w:r>
        <w:rPr/>
        <w:t>degreasing</w:t>
      </w:r>
      <w:r>
        <w:rPr>
          <w:spacing w:val="-3"/>
        </w:rPr>
        <w:t> </w:t>
      </w:r>
      <w:r>
        <w:rPr/>
        <w:t>agents,</w:t>
      </w:r>
      <w:r>
        <w:rPr>
          <w:spacing w:val="-2"/>
        </w:rPr>
        <w:t> </w:t>
      </w:r>
      <w:r>
        <w:rPr/>
        <w:t>drill bits, grinding discs and refrigerants are not considered to be "materials" because they are not the materials of which the vessel is made or</w:t>
      </w:r>
      <w:r>
        <w:rPr>
          <w:spacing w:val="-36"/>
        </w:rPr>
        <w:t> </w:t>
      </w:r>
      <w:r>
        <w:rPr/>
        <w:t>composed.</w:t>
      </w:r>
    </w:p>
    <w:p>
      <w:pPr>
        <w:pStyle w:val="BodyText"/>
        <w:spacing w:before="3"/>
        <w:rPr>
          <w:sz w:val="16"/>
        </w:rPr>
      </w:pPr>
    </w:p>
    <w:p>
      <w:pPr>
        <w:pStyle w:val="Heading1"/>
        <w:spacing w:before="1"/>
      </w:pPr>
      <w:r>
        <w:rPr/>
        <w:t>"Use in the construction, modification and repair"</w:t>
      </w:r>
    </w:p>
    <w:p>
      <w:pPr>
        <w:pStyle w:val="BodyText"/>
        <w:spacing w:before="5"/>
        <w:rPr>
          <w:b/>
          <w:sz w:val="16"/>
        </w:rPr>
      </w:pPr>
    </w:p>
    <w:p>
      <w:pPr>
        <w:pStyle w:val="BodyText"/>
        <w:spacing w:line="237" w:lineRule="auto"/>
        <w:ind w:left="108"/>
      </w:pPr>
      <w:r>
        <w:rPr>
          <w:spacing w:val="-11"/>
        </w:rPr>
        <w:t>To </w:t>
      </w:r>
      <w:r>
        <w:rPr/>
        <w:t>be eligible for concessional </w:t>
      </w:r>
      <w:r>
        <w:rPr>
          <w:spacing w:val="-3"/>
        </w:rPr>
        <w:t>entry, </w:t>
      </w:r>
      <w:r>
        <w:rPr/>
        <w:t>the parts of vessels, or materials, must be for use in the construction, modification and repair of vessels. These terms will be construed according to their ordinary meanings in the context of item 42 as follows:</w:t>
      </w:r>
    </w:p>
    <w:p>
      <w:pPr>
        <w:pStyle w:val="BodyText"/>
        <w:spacing w:before="4"/>
        <w:rPr>
          <w:sz w:val="16"/>
        </w:rPr>
      </w:pPr>
    </w:p>
    <w:p>
      <w:pPr>
        <w:pStyle w:val="BodyText"/>
        <w:ind w:left="373"/>
      </w:pPr>
      <w:r>
        <w:rPr/>
        <w:pict>
          <v:shape style="position:absolute;margin-left:37.793461pt;margin-top:4.852368pt;width:2.75pt;height:2.75pt;mso-position-horizontal-relative:page;mso-position-vertical-relative:paragraph;z-index:15731200" coordorigin="756,97" coordsize="55,55" path="m801,151l765,151,756,142,756,106,765,97,801,97,810,106,810,124,810,142,801,151xe" filled="true" fillcolor="#000000" stroked="false">
            <v:path arrowok="t"/>
            <v:fill type="solid"/>
            <w10:wrap type="none"/>
          </v:shape>
        </w:pict>
      </w:r>
      <w:r>
        <w:rPr/>
        <w:t>"construction â?¦.. of vessels" means the building of vessels by assembling and combining parts.</w:t>
      </w:r>
    </w:p>
    <w:p>
      <w:pPr>
        <w:pStyle w:val="BodyText"/>
        <w:spacing w:before="6"/>
        <w:rPr>
          <w:sz w:val="10"/>
        </w:rPr>
      </w:pPr>
    </w:p>
    <w:p>
      <w:pPr>
        <w:pStyle w:val="BodyText"/>
        <w:spacing w:before="93"/>
        <w:ind w:left="373"/>
      </w:pPr>
      <w:r>
        <w:rPr/>
        <w:pict>
          <v:shape style="position:absolute;margin-left:37.793461pt;margin-top:9.502376pt;width:2.75pt;height:2.75pt;mso-position-horizontal-relative:page;mso-position-vertical-relative:paragraph;z-index:15731712" coordorigin="756,190" coordsize="55,55" path="m801,244l765,244,756,235,756,199,765,190,801,190,810,199,810,217,810,235,801,244xe" filled="true" fillcolor="#000000" stroked="false">
            <v:path arrowok="t"/>
            <v:fill type="solid"/>
            <w10:wrap type="none"/>
          </v:shape>
        </w:pict>
      </w:r>
      <w:r>
        <w:rPr/>
        <w:t>"modification â?¦ of vessels" means the alteration of the form or qualities of vessels. The alteration will normally be of a long term nature, and require the vessel to be re-surveyed.</w:t>
      </w:r>
    </w:p>
    <w:p>
      <w:pPr>
        <w:pStyle w:val="BodyText"/>
        <w:spacing w:before="6"/>
        <w:rPr>
          <w:sz w:val="10"/>
        </w:rPr>
      </w:pPr>
    </w:p>
    <w:p>
      <w:pPr>
        <w:pStyle w:val="BodyText"/>
        <w:spacing w:before="94"/>
        <w:ind w:left="373"/>
      </w:pPr>
      <w:r>
        <w:rPr/>
        <w:pict>
          <v:shape style="position:absolute;margin-left:37.793461pt;margin-top:9.552368pt;width:2.75pt;height:2.75pt;mso-position-horizontal-relative:page;mso-position-vertical-relative:paragraph;z-index:15732224" coordorigin="756,191" coordsize="55,55" path="m801,245l765,245,756,236,756,200,765,191,801,191,810,200,810,218,810,236,801,245xe" filled="true" fillcolor="#000000" stroked="false">
            <v:path arrowok="t"/>
            <v:fill type="solid"/>
            <w10:wrap type="none"/>
          </v:shape>
        </w:pict>
      </w:r>
      <w:r>
        <w:rPr/>
        <w:t>"repairâ?¦ of vessels" includes the renewing, replacement of parts, restoring to sound condition, mending and strengthening of vessels.</w:t>
      </w:r>
    </w:p>
    <w:p>
      <w:pPr>
        <w:pStyle w:val="BodyText"/>
        <w:spacing w:before="3"/>
        <w:rPr>
          <w:sz w:val="16"/>
        </w:rPr>
      </w:pPr>
    </w:p>
    <w:p>
      <w:pPr>
        <w:pStyle w:val="Heading1"/>
      </w:pPr>
      <w:r>
        <w:rPr/>
        <w:t>4. Additional information</w:t>
      </w:r>
    </w:p>
    <w:p>
      <w:pPr>
        <w:pStyle w:val="BodyText"/>
        <w:spacing w:before="5"/>
        <w:rPr>
          <w:b/>
          <w:sz w:val="16"/>
        </w:rPr>
      </w:pPr>
    </w:p>
    <w:p>
      <w:pPr>
        <w:pStyle w:val="BodyText"/>
        <w:spacing w:line="237" w:lineRule="auto"/>
        <w:ind w:left="108" w:right="262"/>
      </w:pPr>
      <w:r>
        <w:rPr/>
        <w:t>Additional information on the eligibility of particular goods in terms of </w:t>
      </w:r>
      <w:r>
        <w:rPr>
          <w:i/>
        </w:rPr>
        <w:t>item </w:t>
      </w:r>
      <w:r>
        <w:rPr/>
        <w:t>42 should be addressed in the first instance through the normal tariff classification procedures. Urgent matters may be referred to the senior tariff officer in the region concerned.</w:t>
      </w:r>
    </w:p>
    <w:p>
      <w:pPr>
        <w:pStyle w:val="BodyText"/>
        <w:spacing w:before="6"/>
        <w:rPr>
          <w:sz w:val="16"/>
        </w:rPr>
      </w:pPr>
    </w:p>
    <w:p>
      <w:pPr>
        <w:pStyle w:val="BodyText"/>
        <w:spacing w:line="237" w:lineRule="auto"/>
        <w:ind w:left="108" w:right="152"/>
      </w:pPr>
      <w:r>
        <w:rPr/>
        <w:t>Any classification issues which cannot be resolved through these avenues will be decided by the Director Tariff Classification. Overall policy responsibility for </w:t>
      </w:r>
      <w:r>
        <w:rPr>
          <w:i/>
        </w:rPr>
        <w:t>item </w:t>
      </w:r>
      <w:r>
        <w:rPr/>
        <w:t>42 rests with the Policy By-law section.</w:t>
      </w:r>
    </w:p>
    <w:p>
      <w:pPr>
        <w:pStyle w:val="BodyText"/>
        <w:spacing w:before="4"/>
        <w:rPr>
          <w:sz w:val="16"/>
        </w:rPr>
      </w:pPr>
    </w:p>
    <w:p>
      <w:pPr>
        <w:pStyle w:val="BodyText"/>
        <w:spacing w:line="217" w:lineRule="exact"/>
        <w:ind w:left="108"/>
      </w:pPr>
      <w:r>
        <w:rPr/>
        <w:t>Marion Grant</w:t>
      </w:r>
    </w:p>
    <w:p>
      <w:pPr>
        <w:pStyle w:val="BodyText"/>
        <w:spacing w:line="237" w:lineRule="auto" w:before="1"/>
        <w:ind w:left="108" w:right="13165"/>
      </w:pPr>
      <w:r>
        <w:rPr/>
        <w:t>National Manager, Industry For Chief Executive Officer</w:t>
      </w:r>
    </w:p>
    <w:p>
      <w:pPr>
        <w:spacing w:after="0" w:line="237" w:lineRule="auto"/>
        <w:sectPr>
          <w:pgSz w:w="16840" w:h="11900" w:orient="landscape"/>
          <w:pgMar w:top="500" w:bottom="280" w:left="580" w:right="440"/>
        </w:sectPr>
      </w:pPr>
    </w:p>
    <w:p>
      <w:pPr>
        <w:pStyle w:val="BodyText"/>
        <w:spacing w:before="77"/>
        <w:ind w:left="108"/>
      </w:pPr>
      <w:r>
        <w:rPr/>
        <w:t>September 1998</w:t>
      </w:r>
    </w:p>
    <w:p>
      <w:pPr>
        <w:pStyle w:val="BodyText"/>
        <w:spacing w:before="4"/>
        <w:rPr>
          <w:sz w:val="16"/>
        </w:rPr>
      </w:pPr>
    </w:p>
    <w:p>
      <w:pPr>
        <w:pStyle w:val="Heading1"/>
        <w:spacing w:line="217" w:lineRule="exact"/>
      </w:pPr>
      <w:r>
        <w:rPr/>
        <w:t>Contact Officers:</w:t>
      </w:r>
    </w:p>
    <w:p>
      <w:pPr>
        <w:pStyle w:val="BodyText"/>
        <w:spacing w:line="237" w:lineRule="auto" w:before="1"/>
        <w:ind w:left="108" w:right="12339"/>
      </w:pPr>
      <w:r>
        <w:rPr/>
        <w:t>Policy: Assistant Director Policy</w:t>
      </w:r>
      <w:r>
        <w:rPr>
          <w:spacing w:val="-26"/>
        </w:rPr>
        <w:t> </w:t>
      </w:r>
      <w:r>
        <w:rPr/>
        <w:t>By-laws 02 6275</w:t>
      </w:r>
      <w:r>
        <w:rPr>
          <w:spacing w:val="-3"/>
        </w:rPr>
        <w:t> </w:t>
      </w:r>
      <w:r>
        <w:rPr/>
        <w:t>6394</w:t>
      </w:r>
    </w:p>
    <w:p>
      <w:pPr>
        <w:pStyle w:val="BodyText"/>
        <w:spacing w:before="5"/>
        <w:rPr>
          <w:sz w:val="16"/>
        </w:rPr>
      </w:pPr>
    </w:p>
    <w:p>
      <w:pPr>
        <w:pStyle w:val="BodyText"/>
        <w:spacing w:line="237" w:lineRule="auto"/>
        <w:ind w:left="108" w:right="12179"/>
      </w:pPr>
      <w:r>
        <w:rPr/>
        <w:t>Classification: Director </w:t>
      </w:r>
      <w:r>
        <w:rPr>
          <w:spacing w:val="-5"/>
        </w:rPr>
        <w:t>Tariff </w:t>
      </w:r>
      <w:r>
        <w:rPr/>
        <w:t>Classification 02 6275</w:t>
      </w:r>
      <w:r>
        <w:rPr>
          <w:spacing w:val="-3"/>
        </w:rPr>
        <w:t> </w:t>
      </w:r>
      <w:r>
        <w:rPr/>
        <w:t>6465</w:t>
      </w:r>
    </w:p>
    <w:p>
      <w:pPr>
        <w:pStyle w:val="BodyText"/>
        <w:spacing w:before="4"/>
        <w:rPr>
          <w:sz w:val="16"/>
        </w:rPr>
      </w:pPr>
    </w:p>
    <w:p>
      <w:pPr>
        <w:pStyle w:val="Heading1"/>
      </w:pPr>
      <w:r>
        <w:rPr/>
        <w:t>Regional Contacts:</w:t>
      </w:r>
    </w:p>
    <w:p>
      <w:pPr>
        <w:pStyle w:val="BodyText"/>
        <w:spacing w:before="6"/>
        <w:rPr>
          <w:b/>
          <w:sz w:val="1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58"/>
        <w:gridCol w:w="10633"/>
      </w:tblGrid>
      <w:tr>
        <w:trPr>
          <w:trHeight w:val="312" w:hRule="atLeast"/>
        </w:trPr>
        <w:tc>
          <w:tcPr>
            <w:tcW w:w="4958" w:type="dxa"/>
            <w:tcBorders>
              <w:top w:val="single" w:sz="6" w:space="0" w:color="C8C8C8"/>
              <w:right w:val="single" w:sz="6" w:space="0" w:color="C8C8C8"/>
            </w:tcBorders>
          </w:tcPr>
          <w:p>
            <w:pPr>
              <w:pStyle w:val="TableParagraph"/>
              <w:spacing w:line="201" w:lineRule="exact" w:before="91"/>
              <w:ind w:left="101"/>
              <w:rPr>
                <w:sz w:val="19"/>
              </w:rPr>
            </w:pPr>
            <w:r>
              <w:rPr>
                <w:color w:val="202020"/>
                <w:sz w:val="19"/>
              </w:rPr>
              <w:t>NSW</w:t>
            </w:r>
          </w:p>
        </w:tc>
        <w:tc>
          <w:tcPr>
            <w:tcW w:w="10633" w:type="dxa"/>
            <w:tcBorders>
              <w:top w:val="single" w:sz="6" w:space="0" w:color="C8C8C8"/>
              <w:left w:val="single" w:sz="6" w:space="0" w:color="C8C8C8"/>
            </w:tcBorders>
          </w:tcPr>
          <w:p>
            <w:pPr>
              <w:pStyle w:val="TableParagraph"/>
              <w:spacing w:line="201" w:lineRule="exact" w:before="91"/>
              <w:rPr>
                <w:sz w:val="19"/>
              </w:rPr>
            </w:pPr>
            <w:r>
              <w:rPr>
                <w:color w:val="202020"/>
                <w:sz w:val="19"/>
              </w:rPr>
              <w:t>02 9213 2000</w:t>
            </w:r>
          </w:p>
        </w:tc>
      </w:tr>
      <w:tr>
        <w:trPr>
          <w:trHeight w:val="216" w:hRule="atLeast"/>
        </w:trPr>
        <w:tc>
          <w:tcPr>
            <w:tcW w:w="4958" w:type="dxa"/>
            <w:tcBorders>
              <w:right w:val="single" w:sz="6" w:space="0" w:color="C8C8C8"/>
            </w:tcBorders>
          </w:tcPr>
          <w:p>
            <w:pPr>
              <w:pStyle w:val="TableParagraph"/>
              <w:ind w:left="101"/>
              <w:rPr>
                <w:sz w:val="19"/>
              </w:rPr>
            </w:pPr>
            <w:r>
              <w:rPr>
                <w:color w:val="202020"/>
                <w:sz w:val="19"/>
              </w:rPr>
              <w:t>Vic</w:t>
            </w:r>
          </w:p>
        </w:tc>
        <w:tc>
          <w:tcPr>
            <w:tcW w:w="10633" w:type="dxa"/>
            <w:tcBorders>
              <w:left w:val="single" w:sz="6" w:space="0" w:color="C8C8C8"/>
            </w:tcBorders>
          </w:tcPr>
          <w:p>
            <w:pPr>
              <w:pStyle w:val="TableParagraph"/>
              <w:rPr>
                <w:sz w:val="19"/>
              </w:rPr>
            </w:pPr>
            <w:r>
              <w:rPr>
                <w:color w:val="202020"/>
                <w:sz w:val="19"/>
              </w:rPr>
              <w:t>03 9244 8000</w:t>
            </w:r>
          </w:p>
        </w:tc>
      </w:tr>
      <w:tr>
        <w:trPr>
          <w:trHeight w:val="216" w:hRule="atLeast"/>
        </w:trPr>
        <w:tc>
          <w:tcPr>
            <w:tcW w:w="4958" w:type="dxa"/>
            <w:tcBorders>
              <w:right w:val="single" w:sz="6" w:space="0" w:color="C8C8C8"/>
            </w:tcBorders>
          </w:tcPr>
          <w:p>
            <w:pPr>
              <w:pStyle w:val="TableParagraph"/>
              <w:ind w:left="101"/>
              <w:rPr>
                <w:sz w:val="19"/>
              </w:rPr>
            </w:pPr>
            <w:r>
              <w:rPr>
                <w:color w:val="202020"/>
                <w:sz w:val="19"/>
              </w:rPr>
              <w:t>Qld</w:t>
            </w:r>
          </w:p>
        </w:tc>
        <w:tc>
          <w:tcPr>
            <w:tcW w:w="10633" w:type="dxa"/>
            <w:tcBorders>
              <w:left w:val="single" w:sz="6" w:space="0" w:color="C8C8C8"/>
            </w:tcBorders>
          </w:tcPr>
          <w:p>
            <w:pPr>
              <w:pStyle w:val="TableParagraph"/>
              <w:rPr>
                <w:sz w:val="19"/>
              </w:rPr>
            </w:pPr>
            <w:r>
              <w:rPr>
                <w:color w:val="202020"/>
                <w:sz w:val="19"/>
              </w:rPr>
              <w:t>07 3835 3444</w:t>
            </w:r>
          </w:p>
        </w:tc>
      </w:tr>
      <w:tr>
        <w:trPr>
          <w:trHeight w:val="216" w:hRule="atLeast"/>
        </w:trPr>
        <w:tc>
          <w:tcPr>
            <w:tcW w:w="4958" w:type="dxa"/>
            <w:tcBorders>
              <w:right w:val="single" w:sz="6" w:space="0" w:color="C8C8C8"/>
            </w:tcBorders>
          </w:tcPr>
          <w:p>
            <w:pPr>
              <w:pStyle w:val="TableParagraph"/>
              <w:ind w:left="101"/>
              <w:rPr>
                <w:sz w:val="19"/>
              </w:rPr>
            </w:pPr>
            <w:r>
              <w:rPr>
                <w:color w:val="202020"/>
                <w:sz w:val="19"/>
              </w:rPr>
              <w:t>WA</w:t>
            </w:r>
          </w:p>
        </w:tc>
        <w:tc>
          <w:tcPr>
            <w:tcW w:w="10633" w:type="dxa"/>
            <w:tcBorders>
              <w:left w:val="single" w:sz="6" w:space="0" w:color="C8C8C8"/>
            </w:tcBorders>
          </w:tcPr>
          <w:p>
            <w:pPr>
              <w:pStyle w:val="TableParagraph"/>
              <w:rPr>
                <w:sz w:val="19"/>
              </w:rPr>
            </w:pPr>
            <w:r>
              <w:rPr>
                <w:color w:val="202020"/>
                <w:sz w:val="19"/>
              </w:rPr>
              <w:t>08 9430 1444</w:t>
            </w:r>
          </w:p>
        </w:tc>
      </w:tr>
      <w:tr>
        <w:trPr>
          <w:trHeight w:val="216" w:hRule="atLeast"/>
        </w:trPr>
        <w:tc>
          <w:tcPr>
            <w:tcW w:w="4958" w:type="dxa"/>
            <w:tcBorders>
              <w:right w:val="single" w:sz="6" w:space="0" w:color="C8C8C8"/>
            </w:tcBorders>
          </w:tcPr>
          <w:p>
            <w:pPr>
              <w:pStyle w:val="TableParagraph"/>
              <w:ind w:left="101"/>
              <w:rPr>
                <w:sz w:val="19"/>
              </w:rPr>
            </w:pPr>
            <w:r>
              <w:rPr>
                <w:color w:val="202020"/>
                <w:sz w:val="19"/>
              </w:rPr>
              <w:t>SA</w:t>
            </w:r>
          </w:p>
        </w:tc>
        <w:tc>
          <w:tcPr>
            <w:tcW w:w="10633" w:type="dxa"/>
            <w:tcBorders>
              <w:left w:val="single" w:sz="6" w:space="0" w:color="C8C8C8"/>
            </w:tcBorders>
          </w:tcPr>
          <w:p>
            <w:pPr>
              <w:pStyle w:val="TableParagraph"/>
              <w:rPr>
                <w:sz w:val="19"/>
              </w:rPr>
            </w:pPr>
            <w:r>
              <w:rPr>
                <w:color w:val="202020"/>
                <w:sz w:val="19"/>
              </w:rPr>
              <w:t>08 8447 9211</w:t>
            </w:r>
          </w:p>
        </w:tc>
      </w:tr>
      <w:tr>
        <w:trPr>
          <w:trHeight w:val="216" w:hRule="atLeast"/>
        </w:trPr>
        <w:tc>
          <w:tcPr>
            <w:tcW w:w="4958" w:type="dxa"/>
            <w:tcBorders>
              <w:right w:val="single" w:sz="6" w:space="0" w:color="C8C8C8"/>
            </w:tcBorders>
          </w:tcPr>
          <w:p>
            <w:pPr>
              <w:pStyle w:val="TableParagraph"/>
              <w:ind w:left="101"/>
              <w:rPr>
                <w:sz w:val="19"/>
              </w:rPr>
            </w:pPr>
            <w:r>
              <w:rPr>
                <w:color w:val="202020"/>
                <w:sz w:val="19"/>
              </w:rPr>
              <w:t>Tas</w:t>
            </w:r>
          </w:p>
        </w:tc>
        <w:tc>
          <w:tcPr>
            <w:tcW w:w="10633" w:type="dxa"/>
            <w:tcBorders>
              <w:left w:val="single" w:sz="6" w:space="0" w:color="C8C8C8"/>
            </w:tcBorders>
          </w:tcPr>
          <w:p>
            <w:pPr>
              <w:pStyle w:val="TableParagraph"/>
              <w:rPr>
                <w:sz w:val="19"/>
              </w:rPr>
            </w:pPr>
            <w:r>
              <w:rPr>
                <w:color w:val="202020"/>
                <w:sz w:val="19"/>
              </w:rPr>
              <w:t>03 6230 1201</w:t>
            </w:r>
          </w:p>
        </w:tc>
      </w:tr>
      <w:tr>
        <w:trPr>
          <w:trHeight w:val="497" w:hRule="atLeast"/>
        </w:trPr>
        <w:tc>
          <w:tcPr>
            <w:tcW w:w="4958" w:type="dxa"/>
            <w:tcBorders>
              <w:bottom w:val="single" w:sz="6" w:space="0" w:color="C8C8C8"/>
              <w:right w:val="single" w:sz="6" w:space="0" w:color="C8C8C8"/>
            </w:tcBorders>
          </w:tcPr>
          <w:p>
            <w:pPr>
              <w:pStyle w:val="TableParagraph"/>
              <w:spacing w:line="214" w:lineRule="exact"/>
              <w:ind w:left="101"/>
              <w:rPr>
                <w:sz w:val="19"/>
              </w:rPr>
            </w:pPr>
            <w:r>
              <w:rPr>
                <w:color w:val="202020"/>
                <w:sz w:val="19"/>
              </w:rPr>
              <w:t>NT</w:t>
            </w:r>
          </w:p>
        </w:tc>
        <w:tc>
          <w:tcPr>
            <w:tcW w:w="10633" w:type="dxa"/>
            <w:tcBorders>
              <w:left w:val="single" w:sz="6" w:space="0" w:color="C8C8C8"/>
              <w:bottom w:val="single" w:sz="6" w:space="0" w:color="C8C8C8"/>
            </w:tcBorders>
          </w:tcPr>
          <w:p>
            <w:pPr>
              <w:pStyle w:val="TableParagraph"/>
              <w:spacing w:line="214" w:lineRule="exact"/>
              <w:rPr>
                <w:sz w:val="19"/>
              </w:rPr>
            </w:pPr>
            <w:r>
              <w:rPr>
                <w:color w:val="202020"/>
                <w:sz w:val="19"/>
              </w:rPr>
              <w:t>08 8946 9999</w:t>
            </w:r>
          </w:p>
        </w:tc>
      </w:tr>
    </w:tbl>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73" w:hanging="211"/>
        <w:jc w:val="left"/>
      </w:pPr>
      <w:rPr>
        <w:rFonts w:hint="default" w:ascii="Arial" w:hAnsi="Arial" w:eastAsia="Arial" w:cs="Arial"/>
        <w:spacing w:val="-11"/>
        <w:w w:val="99"/>
        <w:sz w:val="19"/>
        <w:szCs w:val="19"/>
      </w:rPr>
    </w:lvl>
    <w:lvl w:ilvl="1">
      <w:start w:val="0"/>
      <w:numFmt w:val="bullet"/>
      <w:lvlText w:val="•"/>
      <w:lvlJc w:val="left"/>
      <w:pPr>
        <w:ind w:left="1924" w:hanging="211"/>
      </w:pPr>
      <w:rPr>
        <w:rFonts w:hint="default"/>
      </w:rPr>
    </w:lvl>
    <w:lvl w:ilvl="2">
      <w:start w:val="0"/>
      <w:numFmt w:val="bullet"/>
      <w:lvlText w:val="•"/>
      <w:lvlJc w:val="left"/>
      <w:pPr>
        <w:ind w:left="3468" w:hanging="211"/>
      </w:pPr>
      <w:rPr>
        <w:rFonts w:hint="default"/>
      </w:rPr>
    </w:lvl>
    <w:lvl w:ilvl="3">
      <w:start w:val="0"/>
      <w:numFmt w:val="bullet"/>
      <w:lvlText w:val="•"/>
      <w:lvlJc w:val="left"/>
      <w:pPr>
        <w:ind w:left="5012" w:hanging="211"/>
      </w:pPr>
      <w:rPr>
        <w:rFonts w:hint="default"/>
      </w:rPr>
    </w:lvl>
    <w:lvl w:ilvl="4">
      <w:start w:val="0"/>
      <w:numFmt w:val="bullet"/>
      <w:lvlText w:val="•"/>
      <w:lvlJc w:val="left"/>
      <w:pPr>
        <w:ind w:left="6556" w:hanging="211"/>
      </w:pPr>
      <w:rPr>
        <w:rFonts w:hint="default"/>
      </w:rPr>
    </w:lvl>
    <w:lvl w:ilvl="5">
      <w:start w:val="0"/>
      <w:numFmt w:val="bullet"/>
      <w:lvlText w:val="•"/>
      <w:lvlJc w:val="left"/>
      <w:pPr>
        <w:ind w:left="8100" w:hanging="211"/>
      </w:pPr>
      <w:rPr>
        <w:rFonts w:hint="default"/>
      </w:rPr>
    </w:lvl>
    <w:lvl w:ilvl="6">
      <w:start w:val="0"/>
      <w:numFmt w:val="bullet"/>
      <w:lvlText w:val="•"/>
      <w:lvlJc w:val="left"/>
      <w:pPr>
        <w:ind w:left="9644" w:hanging="211"/>
      </w:pPr>
      <w:rPr>
        <w:rFonts w:hint="default"/>
      </w:rPr>
    </w:lvl>
    <w:lvl w:ilvl="7">
      <w:start w:val="0"/>
      <w:numFmt w:val="bullet"/>
      <w:lvlText w:val="•"/>
      <w:lvlJc w:val="left"/>
      <w:pPr>
        <w:ind w:left="11188" w:hanging="211"/>
      </w:pPr>
      <w:rPr>
        <w:rFonts w:hint="default"/>
      </w:rPr>
    </w:lvl>
    <w:lvl w:ilvl="8">
      <w:start w:val="0"/>
      <w:numFmt w:val="bullet"/>
      <w:lvlText w:val="•"/>
      <w:lvlJc w:val="left"/>
      <w:pPr>
        <w:ind w:left="12732" w:hanging="211"/>
      </w:pPr>
      <w:rPr>
        <w:rFonts w:hint="default"/>
      </w:rPr>
    </w:lvl>
  </w:abstractNum>
  <w:abstractNum w:abstractNumId="0">
    <w:multiLevelType w:val="hybridMultilevel"/>
    <w:lvl w:ilvl="0">
      <w:start w:val="1"/>
      <w:numFmt w:val="decimal"/>
      <w:lvlText w:val="%1."/>
      <w:lvlJc w:val="left"/>
      <w:pPr>
        <w:ind w:left="318" w:hanging="211"/>
        <w:jc w:val="left"/>
      </w:pPr>
      <w:rPr>
        <w:rFonts w:hint="default" w:ascii="Arial" w:hAnsi="Arial" w:eastAsia="Arial" w:cs="Arial"/>
        <w:b/>
        <w:bCs/>
        <w:w w:val="99"/>
        <w:sz w:val="19"/>
        <w:szCs w:val="19"/>
      </w:rPr>
    </w:lvl>
    <w:lvl w:ilvl="1">
      <w:start w:val="0"/>
      <w:numFmt w:val="bullet"/>
      <w:lvlText w:val="•"/>
      <w:lvlJc w:val="left"/>
      <w:pPr>
        <w:ind w:left="1870" w:hanging="211"/>
      </w:pPr>
      <w:rPr>
        <w:rFonts w:hint="default"/>
      </w:rPr>
    </w:lvl>
    <w:lvl w:ilvl="2">
      <w:start w:val="0"/>
      <w:numFmt w:val="bullet"/>
      <w:lvlText w:val="•"/>
      <w:lvlJc w:val="left"/>
      <w:pPr>
        <w:ind w:left="3420" w:hanging="211"/>
      </w:pPr>
      <w:rPr>
        <w:rFonts w:hint="default"/>
      </w:rPr>
    </w:lvl>
    <w:lvl w:ilvl="3">
      <w:start w:val="0"/>
      <w:numFmt w:val="bullet"/>
      <w:lvlText w:val="•"/>
      <w:lvlJc w:val="left"/>
      <w:pPr>
        <w:ind w:left="4970" w:hanging="211"/>
      </w:pPr>
      <w:rPr>
        <w:rFonts w:hint="default"/>
      </w:rPr>
    </w:lvl>
    <w:lvl w:ilvl="4">
      <w:start w:val="0"/>
      <w:numFmt w:val="bullet"/>
      <w:lvlText w:val="•"/>
      <w:lvlJc w:val="left"/>
      <w:pPr>
        <w:ind w:left="6520" w:hanging="211"/>
      </w:pPr>
      <w:rPr>
        <w:rFonts w:hint="default"/>
      </w:rPr>
    </w:lvl>
    <w:lvl w:ilvl="5">
      <w:start w:val="0"/>
      <w:numFmt w:val="bullet"/>
      <w:lvlText w:val="•"/>
      <w:lvlJc w:val="left"/>
      <w:pPr>
        <w:ind w:left="8070" w:hanging="211"/>
      </w:pPr>
      <w:rPr>
        <w:rFonts w:hint="default"/>
      </w:rPr>
    </w:lvl>
    <w:lvl w:ilvl="6">
      <w:start w:val="0"/>
      <w:numFmt w:val="bullet"/>
      <w:lvlText w:val="•"/>
      <w:lvlJc w:val="left"/>
      <w:pPr>
        <w:ind w:left="9620" w:hanging="211"/>
      </w:pPr>
      <w:rPr>
        <w:rFonts w:hint="default"/>
      </w:rPr>
    </w:lvl>
    <w:lvl w:ilvl="7">
      <w:start w:val="0"/>
      <w:numFmt w:val="bullet"/>
      <w:lvlText w:val="•"/>
      <w:lvlJc w:val="left"/>
      <w:pPr>
        <w:ind w:left="11170" w:hanging="211"/>
      </w:pPr>
      <w:rPr>
        <w:rFonts w:hint="default"/>
      </w:rPr>
    </w:lvl>
    <w:lvl w:ilvl="8">
      <w:start w:val="0"/>
      <w:numFmt w:val="bullet"/>
      <w:lvlText w:val="•"/>
      <w:lvlJc w:val="left"/>
      <w:pPr>
        <w:ind w:left="12720" w:hanging="21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108"/>
      <w:outlineLvl w:val="1"/>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ind w:left="318" w:hanging="211"/>
    </w:pPr>
    <w:rPr>
      <w:rFonts w:ascii="Arial" w:hAnsi="Arial" w:eastAsia="Arial" w:cs="Arial"/>
    </w:rPr>
  </w:style>
  <w:style w:styleId="TableParagraph" w:type="paragraph">
    <w:name w:val="Table Paragraph"/>
    <w:basedOn w:val="Normal"/>
    <w:uiPriority w:val="1"/>
    <w:qFormat/>
    <w:pPr>
      <w:spacing w:line="196" w:lineRule="exact"/>
      <w:ind w:left="1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2020-12-09T23:09:23Z</dcterms:created>
  <dcterms:modified xsi:type="dcterms:W3CDTF">2020-12-09T23:09:23Z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