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76</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right="88"/>
      </w:pPr>
      <w:r>
        <w:rPr/>
        <w:t>The companies referred to in the attached </w:t>
      </w:r>
      <w:hyperlink r:id="rId5">
        <w:r>
          <w:rPr>
            <w:color w:val="0F64C7"/>
          </w:rPr>
          <w:t>Schedule </w:t>
        </w:r>
      </w:hyperlink>
      <w:r>
        <w:rPr/>
        <w:t>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ind w:left="0"/>
        <w:rPr>
          <w:sz w:val="17"/>
        </w:rPr>
      </w:pPr>
    </w:p>
    <w:p>
      <w:pPr>
        <w:pStyle w:val="BodyText"/>
        <w:ind w:right="262"/>
      </w:pPr>
      <w:r>
        <w:rPr/>
        <w:t>The references in the </w:t>
      </w:r>
      <w:hyperlink r:id="rId5">
        <w:r>
          <w:rPr>
            <w:color w:val="0F64C7"/>
          </w:rPr>
          <w:t>Schedule </w:t>
        </w:r>
      </w:hyperlink>
      <w:r>
        <w:rPr/>
        <w:t>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ind w:left="0"/>
        <w:rPr>
          <w:sz w:val="17"/>
        </w:rPr>
      </w:pPr>
    </w:p>
    <w:p>
      <w:pPr>
        <w:pStyle w:val="BodyText"/>
        <w:ind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ind w:left="0"/>
        <w:rPr>
          <w:sz w:val="17"/>
        </w:rPr>
      </w:pPr>
    </w:p>
    <w:p>
      <w:pPr>
        <w:pStyle w:val="BodyText"/>
        <w:ind w:left="393" w:right="1416"/>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the goods are being imported otherwise than for the purposes of trade (sale, lease, hire, etc.); or the goods do not infringe the relevant trade mark.</w:t>
      </w:r>
    </w:p>
    <w:p>
      <w:pPr>
        <w:pStyle w:val="BodyText"/>
        <w:ind w:left="0"/>
        <w:rPr>
          <w:sz w:val="18"/>
        </w:rPr>
      </w:pPr>
    </w:p>
    <w:p>
      <w:pPr>
        <w:pStyle w:val="BodyText"/>
        <w:ind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ind w:left="0"/>
        <w:rPr>
          <w:sz w:val="17"/>
        </w:rPr>
      </w:pPr>
    </w:p>
    <w:p>
      <w:pPr>
        <w:pStyle w:val="BodyText"/>
        <w:ind w:right="88"/>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ind w:left="0"/>
        <w:rPr>
          <w:sz w:val="17"/>
        </w:rPr>
      </w:pPr>
    </w:p>
    <w:p>
      <w:pPr>
        <w:pStyle w:val="BodyText"/>
        <w:spacing w:before="1"/>
        <w:ind w:right="153"/>
      </w:pPr>
      <w:r>
        <w:rPr/>
        <w:t>The trade mark owner's contact particulars have been included in the Schedule to assist importers who may wish to initiate negotiations regarding use of the trade marks in question.</w:t>
      </w:r>
    </w:p>
    <w:p>
      <w:pPr>
        <w:pStyle w:val="BodyText"/>
        <w:spacing w:before="11"/>
        <w:ind w:left="0"/>
        <w:rPr>
          <w:sz w:val="17"/>
        </w:rPr>
      </w:pPr>
    </w:p>
    <w:p>
      <w:pPr>
        <w:pStyle w:val="BodyText"/>
        <w:ind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9"/>
        <w:ind w:left="0"/>
        <w:rPr>
          <w:sz w:val="17"/>
        </w:rPr>
      </w:pPr>
    </w:p>
    <w:p>
      <w:pPr>
        <w:pStyle w:val="BodyText"/>
        <w:spacing w:line="446" w:lineRule="auto"/>
        <w:ind w:right="1809"/>
      </w:pPr>
      <w:r>
        <w:rPr/>
        <w:t>R J Mitchell National Manager Import-Export Management Branch for Chief Executive Officer 30 September 1998</w:t>
      </w:r>
    </w:p>
    <w:p>
      <w:pPr>
        <w:pStyle w:val="BodyText"/>
        <w:spacing w:before="1"/>
        <w:ind w:right="259"/>
      </w:pPr>
      <w:r>
        <w:rPr/>
        <w:t>(Import-Export Management : C98/08679; C98/05982; C98/06841; C98/08117; C98/08020; C98/06830; 98/08469; C98/07835; C98/08313)</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7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2020-12-09T23:15:13Z</dcterms:created>
  <dcterms:modified xsi:type="dcterms:W3CDTF">2020-12-09T23:15:13Z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