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77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</w:pPr>
      <w:r>
        <w:rPr/>
        <w:t>The following persons have applied to the Chief Executive Officer for Customs Brokers Licenses:</w:t>
      </w: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7"/>
        <w:gridCol w:w="7454"/>
      </w:tblGrid>
      <w:tr>
        <w:trPr>
          <w:trHeight w:val="837" w:hRule="atLeast"/>
        </w:trPr>
        <w:tc>
          <w:tcPr>
            <w:tcW w:w="8137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6242"/>
              <w:rPr>
                <w:sz w:val="19"/>
              </w:rPr>
            </w:pPr>
            <w:r>
              <w:rPr>
                <w:color w:val="202020"/>
                <w:sz w:val="19"/>
              </w:rPr>
              <w:t>Belinda Louise Hunt 2 Armando Street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ALEXANDRA HILLS QLD 4161</w:t>
            </w:r>
          </w:p>
        </w:tc>
        <w:tc>
          <w:tcPr>
            <w:tcW w:w="7454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719"/>
              <w:rPr>
                <w:sz w:val="19"/>
              </w:rPr>
            </w:pPr>
            <w:r>
              <w:rPr>
                <w:color w:val="202020"/>
                <w:sz w:val="19"/>
              </w:rPr>
              <w:t>Vince Curcuruto 1/7 Kingston Street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HABERFIELD NSW 2045</w:t>
            </w:r>
          </w:p>
        </w:tc>
      </w:tr>
      <w:tr>
        <w:trPr>
          <w:trHeight w:val="837" w:hRule="atLeast"/>
        </w:trPr>
        <w:tc>
          <w:tcPr>
            <w:tcW w:w="8137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5904"/>
              <w:rPr>
                <w:sz w:val="19"/>
              </w:rPr>
            </w:pPr>
            <w:r>
              <w:rPr>
                <w:color w:val="202020"/>
                <w:sz w:val="19"/>
              </w:rPr>
              <w:t>Michael Nazih Munayer 52 Belgrave Esplanade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SYLVANIA NSW 2224</w:t>
            </w:r>
          </w:p>
        </w:tc>
        <w:tc>
          <w:tcPr>
            <w:tcW w:w="7454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4957"/>
              <w:rPr>
                <w:sz w:val="19"/>
              </w:rPr>
            </w:pPr>
            <w:r>
              <w:rPr>
                <w:color w:val="202020"/>
                <w:sz w:val="19"/>
              </w:rPr>
              <w:t>Michael Terence McVeigh 27 Rose Street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ALTONA NSW 3018</w:t>
            </w:r>
          </w:p>
        </w:tc>
      </w:tr>
      <w:tr>
        <w:trPr>
          <w:trHeight w:val="837" w:hRule="atLeast"/>
        </w:trPr>
        <w:tc>
          <w:tcPr>
            <w:tcW w:w="8137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5904"/>
              <w:rPr>
                <w:sz w:val="19"/>
              </w:rPr>
            </w:pPr>
            <w:r>
              <w:rPr>
                <w:color w:val="202020"/>
                <w:sz w:val="19"/>
              </w:rPr>
              <w:t>Trent Raymond Barratt 29 Andress Street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McDOWALL QLD 4053</w:t>
            </w:r>
          </w:p>
        </w:tc>
        <w:tc>
          <w:tcPr>
            <w:tcW w:w="7454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253"/>
              <w:rPr>
                <w:sz w:val="19"/>
              </w:rPr>
            </w:pPr>
            <w:r>
              <w:rPr>
                <w:color w:val="202020"/>
                <w:sz w:val="19"/>
              </w:rPr>
              <w:t>Matthew James Arthur 21 Hyde Park Court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WATTLEGROVE NSW 2173</w:t>
            </w:r>
          </w:p>
        </w:tc>
      </w:tr>
      <w:tr>
        <w:trPr>
          <w:trHeight w:val="837" w:hRule="atLeast"/>
        </w:trPr>
        <w:tc>
          <w:tcPr>
            <w:tcW w:w="8137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6242"/>
              <w:rPr>
                <w:sz w:val="19"/>
              </w:rPr>
            </w:pPr>
            <w:r>
              <w:rPr>
                <w:color w:val="202020"/>
                <w:sz w:val="19"/>
              </w:rPr>
              <w:t>Kevin James Beattie 2 Pier Street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EAST FREMANTLE WA 6158</w:t>
            </w:r>
          </w:p>
        </w:tc>
        <w:tc>
          <w:tcPr>
            <w:tcW w:w="7454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pict>
          <v:rect style="position:absolute;margin-left:45.9105pt;margin-top:10.940141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601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32" w:lineRule="auto" w:before="166"/>
        <w:ind w:right="9305"/>
      </w:pP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ind w:left="0"/>
        <w:rPr>
          <w:rFonts w:ascii="Georgia"/>
          <w:i/>
          <w:sz w:val="30"/>
        </w:rPr>
      </w:pPr>
    </w:p>
    <w:p>
      <w:pPr>
        <w:pStyle w:val="BodyText"/>
        <w:spacing w:before="10"/>
        <w:ind w:left="0"/>
        <w:rPr>
          <w:rFonts w:ascii="Georgia"/>
          <w:i/>
          <w:sz w:val="31"/>
        </w:rPr>
      </w:pPr>
    </w:p>
    <w:p>
      <w:pPr>
        <w:pStyle w:val="BodyText"/>
        <w:spacing w:line="400" w:lineRule="atLeast" w:before="1"/>
        <w:ind w:right="13725"/>
      </w:pPr>
      <w:r>
        <w:rPr/>
        <w:t>by 10 December 1998 R J Mitchell</w:t>
      </w:r>
    </w:p>
    <w:p>
      <w:pPr>
        <w:pStyle w:val="BodyText"/>
        <w:spacing w:line="217" w:lineRule="exact" w:before="3"/>
      </w:pPr>
      <w:r>
        <w:rPr/>
        <w:t>National Manager</w:t>
      </w:r>
    </w:p>
    <w:p>
      <w:pPr>
        <w:pStyle w:val="BodyText"/>
        <w:spacing w:line="237" w:lineRule="auto" w:before="1"/>
        <w:ind w:right="12542"/>
      </w:pPr>
      <w:r>
        <w:rPr/>
        <w:t>Import-Export Management Branch for Chief Executive Officer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</w:pPr>
      <w:r>
        <w:rPr/>
        <w:t>5 November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2020-12-09T23:18:51Z</dcterms:created>
  <dcterms:modified xsi:type="dcterms:W3CDTF">2020-12-09T23:18:51Z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