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09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Customs Brokers Licenses.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4"/>
        <w:gridCol w:w="7698"/>
      </w:tblGrid>
      <w:tr>
        <w:trPr>
          <w:trHeight w:val="837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5366"/>
              <w:rPr>
                <w:sz w:val="19"/>
              </w:rPr>
            </w:pPr>
            <w:r>
              <w:rPr>
                <w:color w:val="202020"/>
                <w:sz w:val="19"/>
              </w:rPr>
              <w:t>Andrew Nicholas Hegeman 1/8 Bernborough Avenue BALWYN VIC 3103</w:t>
            </w: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508"/>
              <w:rPr>
                <w:sz w:val="19"/>
              </w:rPr>
            </w:pPr>
            <w:r>
              <w:rPr>
                <w:color w:val="202020"/>
                <w:sz w:val="19"/>
              </w:rPr>
              <w:t>Clayton John Hedger 134 Heatherdale Road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MITCHAM VIC 3132</w:t>
            </w:r>
          </w:p>
        </w:tc>
      </w:tr>
      <w:tr>
        <w:trPr>
          <w:trHeight w:val="187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053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6147"/>
              <w:rPr>
                <w:sz w:val="19"/>
              </w:rPr>
            </w:pPr>
            <w:r>
              <w:rPr>
                <w:color w:val="202020"/>
                <w:sz w:val="19"/>
              </w:rPr>
              <w:t>Vasilios Karabasis 9 Alfred Street</w:t>
            </w:r>
          </w:p>
          <w:p>
            <w:pPr>
              <w:pStyle w:val="TableParagraph"/>
              <w:spacing w:line="237" w:lineRule="auto"/>
              <w:ind w:left="101" w:right="5366"/>
              <w:rPr>
                <w:sz w:val="19"/>
              </w:rPr>
            </w:pPr>
            <w:r>
              <w:rPr>
                <w:color w:val="202020"/>
                <w:sz w:val="19"/>
              </w:rPr>
              <w:t>WEST MARRICKVILLE NSW 2204</w:t>
            </w: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spacing w:line="217" w:lineRule="exact" w:before="91"/>
              <w:rPr>
                <w:sz w:val="19"/>
              </w:rPr>
            </w:pPr>
            <w:r>
              <w:rPr>
                <w:color w:val="202020"/>
                <w:sz w:val="19"/>
              </w:rPr>
              <w:t>Mark De Magry</w:t>
            </w:r>
          </w:p>
          <w:p>
            <w:pPr>
              <w:pStyle w:val="TableParagraph"/>
              <w:spacing w:line="237" w:lineRule="auto" w:before="1"/>
              <w:ind w:right="5300"/>
              <w:rPr>
                <w:sz w:val="19"/>
              </w:rPr>
            </w:pPr>
            <w:r>
              <w:rPr>
                <w:color w:val="202020"/>
                <w:sz w:val="19"/>
              </w:rPr>
              <w:t>17/5-15 Union Street PARRAMATTA NSW 2150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63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22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4 March 1999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4105"/>
      </w:pPr>
      <w:r>
        <w:rPr/>
        <w:t>P.G. Burns National Manager</w:t>
      </w:r>
    </w:p>
    <w:p>
      <w:pPr>
        <w:pStyle w:val="BodyText"/>
        <w:spacing w:line="237" w:lineRule="auto"/>
        <w:ind w:left="108" w:right="12363"/>
      </w:pPr>
      <w:r>
        <w:rPr/>
        <w:t>Imports/Exports Management Branch for</w:t>
      </w:r>
    </w:p>
    <w:p>
      <w:pPr>
        <w:pStyle w:val="BodyText"/>
        <w:spacing w:line="475" w:lineRule="auto"/>
        <w:ind w:left="108" w:right="13693"/>
      </w:pPr>
      <w:r>
        <w:rPr/>
        <w:t>Chief Executive Officer 1 February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2020-12-09T23:20:06Z</dcterms:created>
  <dcterms:modified xsi:type="dcterms:W3CDTF">2020-12-09T23:20:06Z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