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17</w:t>
      </w:r>
    </w:p>
    <w:p>
      <w:pPr>
        <w:spacing w:before="357"/>
        <w:ind w:left="108" w:right="0" w:firstLine="0"/>
        <w:jc w:val="left"/>
        <w:rPr>
          <w:b/>
          <w:sz w:val="32"/>
        </w:rPr>
      </w:pPr>
      <w:r>
        <w:rPr>
          <w:b/>
          <w:color w:val="202020"/>
          <w:sz w:val="32"/>
        </w:rPr>
        <w:t>Air Cargo Underbond and Transhipment Processes</w:t>
      </w:r>
    </w:p>
    <w:p>
      <w:pPr>
        <w:pStyle w:val="BodyText"/>
        <w:spacing w:line="237" w:lineRule="auto" w:before="256"/>
        <w:ind w:left="108" w:right="307"/>
      </w:pPr>
      <w:r>
        <w:rPr/>
        <w:t>The Australian Customs Service (Customs) has conducted a review of the procedures governing control of transhipment and interstate underbond movement of air cargo reported by Cargo Terminal Operator's (CTO's) at the Master Air Waybill level. With the concurrence of the Australian Quarantine and Inspection Service (AQIS), it is proposed to introduce revised clearance procedures for these categories of air cargo from 1 March 1999.</w:t>
      </w:r>
    </w:p>
    <w:p>
      <w:pPr>
        <w:pStyle w:val="BodyText"/>
        <w:spacing w:before="6"/>
        <w:rPr>
          <w:sz w:val="16"/>
        </w:rPr>
      </w:pPr>
    </w:p>
    <w:p>
      <w:pPr>
        <w:pStyle w:val="BodyText"/>
        <w:spacing w:line="237" w:lineRule="auto"/>
        <w:ind w:left="108" w:right="212"/>
      </w:pPr>
      <w:r>
        <w:rPr/>
        <w:t>Customs currently transmits the status of all cargo to CTO's through the Air Cargo Automation (ACA) system upon flight arrival. CTO's have experienced delays in receiving ACA status, which can cause cargo to miss scheduled domestic and international connecting flights. The intent of the new arrangements is to alleviate any delivery delays whilst at the same time maintaining adequate control and accountability of the cargo.</w:t>
      </w:r>
    </w:p>
    <w:p>
      <w:pPr>
        <w:pStyle w:val="BodyText"/>
        <w:spacing w:before="6"/>
        <w:rPr>
          <w:sz w:val="16"/>
        </w:rPr>
      </w:pPr>
    </w:p>
    <w:p>
      <w:pPr>
        <w:pStyle w:val="BodyText"/>
        <w:spacing w:line="237" w:lineRule="auto"/>
        <w:ind w:left="108" w:right="250"/>
      </w:pPr>
      <w:r>
        <w:rPr/>
        <w:t>Customs and AQIS propose to allow cargo to be transhipped prior to receiving status and underbond cargo to move on a continuing permission basis in accordance with Section 71E of the Customs Act 1901. These processes will occur as normal through ACA, however actual movement will be allowed prior to the CTO receiving a returned ACA status. Each specific underbond movement will be required to be acquitted through ACA at the destination CTO.</w:t>
      </w:r>
    </w:p>
    <w:p>
      <w:pPr>
        <w:pStyle w:val="BodyText"/>
        <w:spacing w:before="6"/>
        <w:rPr>
          <w:sz w:val="16"/>
        </w:rPr>
      </w:pPr>
    </w:p>
    <w:p>
      <w:pPr>
        <w:pStyle w:val="BodyText"/>
        <w:spacing w:line="237" w:lineRule="auto"/>
        <w:ind w:left="108" w:right="299"/>
      </w:pPr>
      <w:r>
        <w:rPr/>
        <w:t>In order to participate in the new arrangements, CTO's will be required to lodge a written request with the appropriate regional Customs and AQIS cargo management areas and will be required to satisfy the following conditions :</w:t>
      </w:r>
    </w:p>
    <w:p>
      <w:pPr>
        <w:pStyle w:val="BodyText"/>
        <w:spacing w:before="5"/>
        <w:rPr>
          <w:sz w:val="16"/>
        </w:rPr>
      </w:pPr>
    </w:p>
    <w:p>
      <w:pPr>
        <w:pStyle w:val="ListParagraph"/>
        <w:numPr>
          <w:ilvl w:val="0"/>
          <w:numId w:val="1"/>
        </w:numPr>
        <w:tabs>
          <w:tab w:pos="374" w:val="left" w:leader="none"/>
        </w:tabs>
        <w:spacing w:line="237" w:lineRule="auto" w:before="1" w:after="0"/>
        <w:ind w:left="373" w:right="1208" w:hanging="211"/>
        <w:jc w:val="left"/>
        <w:rPr>
          <w:sz w:val="19"/>
        </w:rPr>
      </w:pPr>
      <w:r>
        <w:rPr>
          <w:sz w:val="19"/>
        </w:rPr>
        <w:t>The</w:t>
      </w:r>
      <w:r>
        <w:rPr>
          <w:spacing w:val="-3"/>
          <w:sz w:val="19"/>
        </w:rPr>
        <w:t> </w:t>
      </w:r>
      <w:r>
        <w:rPr>
          <w:sz w:val="19"/>
        </w:rPr>
        <w:t>revised</w:t>
      </w:r>
      <w:r>
        <w:rPr>
          <w:spacing w:val="-3"/>
          <w:sz w:val="19"/>
        </w:rPr>
        <w:t> </w:t>
      </w:r>
      <w:r>
        <w:rPr>
          <w:sz w:val="19"/>
        </w:rPr>
        <w:t>process</w:t>
      </w:r>
      <w:r>
        <w:rPr>
          <w:spacing w:val="-2"/>
          <w:sz w:val="19"/>
        </w:rPr>
        <w:t> </w:t>
      </w:r>
      <w:r>
        <w:rPr>
          <w:sz w:val="19"/>
        </w:rPr>
        <w:t>is</w:t>
      </w:r>
      <w:r>
        <w:rPr>
          <w:spacing w:val="-3"/>
          <w:sz w:val="19"/>
        </w:rPr>
        <w:t> </w:t>
      </w:r>
      <w:r>
        <w:rPr>
          <w:sz w:val="19"/>
        </w:rPr>
        <w:t>only</w:t>
      </w:r>
      <w:r>
        <w:rPr>
          <w:spacing w:val="-3"/>
          <w:sz w:val="19"/>
        </w:rPr>
        <w:t> </w:t>
      </w:r>
      <w:r>
        <w:rPr>
          <w:sz w:val="19"/>
        </w:rPr>
        <w:t>available</w:t>
      </w:r>
      <w:r>
        <w:rPr>
          <w:spacing w:val="-2"/>
          <w:sz w:val="19"/>
        </w:rPr>
        <w:t> </w:t>
      </w:r>
      <w:r>
        <w:rPr>
          <w:sz w:val="19"/>
        </w:rPr>
        <w:t>for</w:t>
      </w:r>
      <w:r>
        <w:rPr>
          <w:spacing w:val="-3"/>
          <w:sz w:val="19"/>
        </w:rPr>
        <w:t> </w:t>
      </w:r>
      <w:r>
        <w:rPr>
          <w:sz w:val="19"/>
        </w:rPr>
        <w:t>flights</w:t>
      </w:r>
      <w:r>
        <w:rPr>
          <w:spacing w:val="-3"/>
          <w:sz w:val="19"/>
        </w:rPr>
        <w:t> </w:t>
      </w:r>
      <w:r>
        <w:rPr>
          <w:sz w:val="19"/>
        </w:rPr>
        <w:t>reported</w:t>
      </w:r>
      <w:r>
        <w:rPr>
          <w:spacing w:val="-2"/>
          <w:sz w:val="19"/>
        </w:rPr>
        <w:t> </w:t>
      </w:r>
      <w:r>
        <w:rPr>
          <w:sz w:val="19"/>
        </w:rPr>
        <w:t>in</w:t>
      </w:r>
      <w:r>
        <w:rPr>
          <w:spacing w:val="-3"/>
          <w:sz w:val="19"/>
        </w:rPr>
        <w:t> </w:t>
      </w:r>
      <w:r>
        <w:rPr>
          <w:sz w:val="19"/>
        </w:rPr>
        <w:t>accordance</w:t>
      </w:r>
      <w:r>
        <w:rPr>
          <w:spacing w:val="-3"/>
          <w:sz w:val="19"/>
        </w:rPr>
        <w:t> </w:t>
      </w:r>
      <w:r>
        <w:rPr>
          <w:sz w:val="19"/>
        </w:rPr>
        <w:t>with</w:t>
      </w:r>
      <w:r>
        <w:rPr>
          <w:spacing w:val="-2"/>
          <w:sz w:val="19"/>
        </w:rPr>
        <w:t> </w:t>
      </w:r>
      <w:r>
        <w:rPr>
          <w:sz w:val="19"/>
        </w:rPr>
        <w:t>Section</w:t>
      </w:r>
      <w:r>
        <w:rPr>
          <w:spacing w:val="-3"/>
          <w:sz w:val="19"/>
        </w:rPr>
        <w:t> </w:t>
      </w:r>
      <w:r>
        <w:rPr>
          <w:sz w:val="19"/>
        </w:rPr>
        <w:t>64AB</w:t>
      </w:r>
      <w:r>
        <w:rPr>
          <w:spacing w:val="-2"/>
          <w:sz w:val="19"/>
        </w:rPr>
        <w:t> </w:t>
      </w:r>
      <w:r>
        <w:rPr>
          <w:sz w:val="19"/>
        </w:rPr>
        <w:t>of</w:t>
      </w:r>
      <w:r>
        <w:rPr>
          <w:spacing w:val="-3"/>
          <w:sz w:val="19"/>
        </w:rPr>
        <w:t> </w:t>
      </w:r>
      <w:r>
        <w:rPr>
          <w:sz w:val="19"/>
        </w:rPr>
        <w:t>the</w:t>
      </w:r>
      <w:r>
        <w:rPr>
          <w:spacing w:val="-3"/>
          <w:sz w:val="19"/>
        </w:rPr>
        <w:t> </w:t>
      </w:r>
      <w:r>
        <w:rPr>
          <w:sz w:val="19"/>
        </w:rPr>
        <w:t>Customs</w:t>
      </w:r>
      <w:r>
        <w:rPr>
          <w:spacing w:val="-2"/>
          <w:sz w:val="19"/>
        </w:rPr>
        <w:t> </w:t>
      </w:r>
      <w:r>
        <w:rPr>
          <w:sz w:val="19"/>
        </w:rPr>
        <w:t>Act.</w:t>
      </w:r>
      <w:r>
        <w:rPr>
          <w:spacing w:val="-3"/>
          <w:sz w:val="19"/>
        </w:rPr>
        <w:t> </w:t>
      </w:r>
      <w:r>
        <w:rPr>
          <w:sz w:val="19"/>
        </w:rPr>
        <w:t>i.e.</w:t>
      </w:r>
      <w:r>
        <w:rPr>
          <w:spacing w:val="-3"/>
          <w:sz w:val="19"/>
        </w:rPr>
        <w:t> </w:t>
      </w:r>
      <w:r>
        <w:rPr>
          <w:sz w:val="19"/>
        </w:rPr>
        <w:t>complete</w:t>
      </w:r>
      <w:r>
        <w:rPr>
          <w:spacing w:val="-2"/>
          <w:sz w:val="19"/>
        </w:rPr>
        <w:t> </w:t>
      </w:r>
      <w:r>
        <w:rPr>
          <w:sz w:val="19"/>
        </w:rPr>
        <w:t>report</w:t>
      </w:r>
      <w:r>
        <w:rPr>
          <w:spacing w:val="-3"/>
          <w:sz w:val="19"/>
        </w:rPr>
        <w:t> </w:t>
      </w:r>
      <w:r>
        <w:rPr>
          <w:sz w:val="19"/>
        </w:rPr>
        <w:t>at</w:t>
      </w:r>
      <w:r>
        <w:rPr>
          <w:spacing w:val="-3"/>
          <w:sz w:val="19"/>
        </w:rPr>
        <w:t> </w:t>
      </w:r>
      <w:r>
        <w:rPr>
          <w:sz w:val="19"/>
        </w:rPr>
        <w:t>the</w:t>
      </w:r>
      <w:r>
        <w:rPr>
          <w:spacing w:val="-2"/>
          <w:sz w:val="19"/>
        </w:rPr>
        <w:t> </w:t>
      </w:r>
      <w:r>
        <w:rPr>
          <w:sz w:val="19"/>
        </w:rPr>
        <w:t>Master</w:t>
      </w:r>
      <w:r>
        <w:rPr>
          <w:spacing w:val="-3"/>
          <w:sz w:val="19"/>
        </w:rPr>
        <w:t> </w:t>
      </w:r>
      <w:r>
        <w:rPr>
          <w:sz w:val="19"/>
        </w:rPr>
        <w:t>Air</w:t>
      </w:r>
      <w:r>
        <w:rPr>
          <w:spacing w:val="-2"/>
          <w:sz w:val="19"/>
        </w:rPr>
        <w:t> </w:t>
      </w:r>
      <w:r>
        <w:rPr>
          <w:sz w:val="19"/>
        </w:rPr>
        <w:t>Waybill</w:t>
      </w:r>
      <w:r>
        <w:rPr>
          <w:spacing w:val="-3"/>
          <w:sz w:val="19"/>
        </w:rPr>
        <w:t> </w:t>
      </w:r>
      <w:r>
        <w:rPr>
          <w:sz w:val="19"/>
        </w:rPr>
        <w:t>level</w:t>
      </w:r>
      <w:r>
        <w:rPr>
          <w:spacing w:val="-3"/>
          <w:sz w:val="19"/>
        </w:rPr>
        <w:t> </w:t>
      </w:r>
      <w:r>
        <w:rPr>
          <w:sz w:val="19"/>
        </w:rPr>
        <w:t>at</w:t>
      </w:r>
      <w:r>
        <w:rPr>
          <w:spacing w:val="-2"/>
          <w:sz w:val="19"/>
        </w:rPr>
        <w:t> </w:t>
      </w:r>
      <w:r>
        <w:rPr>
          <w:sz w:val="19"/>
        </w:rPr>
        <w:t>least</w:t>
      </w:r>
      <w:r>
        <w:rPr>
          <w:spacing w:val="-3"/>
          <w:sz w:val="19"/>
        </w:rPr>
        <w:t> </w:t>
      </w:r>
      <w:r>
        <w:rPr>
          <w:b/>
          <w:sz w:val="19"/>
        </w:rPr>
        <w:t>2 hours </w:t>
      </w:r>
      <w:r>
        <w:rPr>
          <w:sz w:val="19"/>
        </w:rPr>
        <w:t>prior to flight</w:t>
      </w:r>
      <w:r>
        <w:rPr>
          <w:spacing w:val="-5"/>
          <w:sz w:val="19"/>
        </w:rPr>
        <w:t> </w:t>
      </w:r>
      <w:r>
        <w:rPr>
          <w:sz w:val="19"/>
        </w:rPr>
        <w:t>arrival.</w:t>
      </w:r>
    </w:p>
    <w:p>
      <w:pPr>
        <w:pStyle w:val="ListParagraph"/>
        <w:numPr>
          <w:ilvl w:val="0"/>
          <w:numId w:val="1"/>
        </w:numPr>
        <w:tabs>
          <w:tab w:pos="374" w:val="left" w:leader="none"/>
        </w:tabs>
        <w:spacing w:line="216" w:lineRule="exact" w:before="0" w:after="0"/>
        <w:ind w:left="373" w:right="0" w:hanging="212"/>
        <w:jc w:val="left"/>
        <w:rPr>
          <w:sz w:val="19"/>
        </w:rPr>
      </w:pPr>
      <w:r>
        <w:rPr>
          <w:sz w:val="19"/>
        </w:rPr>
        <w:t>CTO's</w:t>
      </w:r>
      <w:r>
        <w:rPr>
          <w:spacing w:val="-2"/>
          <w:sz w:val="19"/>
        </w:rPr>
        <w:t> </w:t>
      </w:r>
      <w:r>
        <w:rPr>
          <w:sz w:val="19"/>
        </w:rPr>
        <w:t>must</w:t>
      </w:r>
      <w:r>
        <w:rPr>
          <w:spacing w:val="-2"/>
          <w:sz w:val="19"/>
        </w:rPr>
        <w:t> </w:t>
      </w:r>
      <w:r>
        <w:rPr>
          <w:sz w:val="19"/>
        </w:rPr>
        <w:t>report</w:t>
      </w:r>
      <w:r>
        <w:rPr>
          <w:spacing w:val="-1"/>
          <w:sz w:val="19"/>
        </w:rPr>
        <w:t> </w:t>
      </w:r>
      <w:r>
        <w:rPr>
          <w:sz w:val="19"/>
        </w:rPr>
        <w:t>through</w:t>
      </w:r>
      <w:r>
        <w:rPr>
          <w:spacing w:val="-2"/>
          <w:sz w:val="19"/>
        </w:rPr>
        <w:t> </w:t>
      </w:r>
      <w:r>
        <w:rPr>
          <w:sz w:val="19"/>
        </w:rPr>
        <w:t>ACA</w:t>
      </w:r>
      <w:r>
        <w:rPr>
          <w:spacing w:val="-1"/>
          <w:sz w:val="19"/>
        </w:rPr>
        <w:t> </w:t>
      </w:r>
      <w:r>
        <w:rPr>
          <w:sz w:val="19"/>
        </w:rPr>
        <w:t>the</w:t>
      </w:r>
      <w:r>
        <w:rPr>
          <w:spacing w:val="-2"/>
          <w:sz w:val="19"/>
        </w:rPr>
        <w:t> </w:t>
      </w:r>
      <w:r>
        <w:rPr>
          <w:sz w:val="19"/>
        </w:rPr>
        <w:t>landing</w:t>
      </w:r>
      <w:r>
        <w:rPr>
          <w:spacing w:val="-2"/>
          <w:sz w:val="19"/>
        </w:rPr>
        <w:t> </w:t>
      </w:r>
      <w:r>
        <w:rPr>
          <w:sz w:val="19"/>
        </w:rPr>
        <w:t>of</w:t>
      </w:r>
      <w:r>
        <w:rPr>
          <w:spacing w:val="-1"/>
          <w:sz w:val="19"/>
        </w:rPr>
        <w:t> </w:t>
      </w:r>
      <w:r>
        <w:rPr>
          <w:sz w:val="19"/>
        </w:rPr>
        <w:t>cargo</w:t>
      </w:r>
      <w:r>
        <w:rPr>
          <w:spacing w:val="-2"/>
          <w:sz w:val="19"/>
        </w:rPr>
        <w:t> </w:t>
      </w:r>
      <w:r>
        <w:rPr>
          <w:sz w:val="19"/>
        </w:rPr>
        <w:t>at</w:t>
      </w:r>
      <w:r>
        <w:rPr>
          <w:spacing w:val="-1"/>
          <w:sz w:val="19"/>
        </w:rPr>
        <w:t> </w:t>
      </w:r>
      <w:r>
        <w:rPr>
          <w:sz w:val="19"/>
        </w:rPr>
        <w:t>the</w:t>
      </w:r>
      <w:r>
        <w:rPr>
          <w:spacing w:val="-2"/>
          <w:sz w:val="19"/>
        </w:rPr>
        <w:t> </w:t>
      </w:r>
      <w:r>
        <w:rPr>
          <w:sz w:val="19"/>
        </w:rPr>
        <w:t>discharge</w:t>
      </w:r>
      <w:r>
        <w:rPr>
          <w:spacing w:val="-1"/>
          <w:sz w:val="19"/>
        </w:rPr>
        <w:t> </w:t>
      </w:r>
      <w:r>
        <w:rPr>
          <w:sz w:val="19"/>
        </w:rPr>
        <w:t>port.</w:t>
      </w:r>
      <w:r>
        <w:rPr>
          <w:spacing w:val="-2"/>
          <w:sz w:val="19"/>
        </w:rPr>
        <w:t> </w:t>
      </w:r>
      <w:r>
        <w:rPr>
          <w:sz w:val="19"/>
        </w:rPr>
        <w:t>A</w:t>
      </w:r>
      <w:r>
        <w:rPr>
          <w:spacing w:val="-2"/>
          <w:sz w:val="19"/>
        </w:rPr>
        <w:t> </w:t>
      </w:r>
      <w:r>
        <w:rPr>
          <w:sz w:val="19"/>
        </w:rPr>
        <w:t>complete</w:t>
      </w:r>
      <w:r>
        <w:rPr>
          <w:spacing w:val="-1"/>
          <w:sz w:val="19"/>
        </w:rPr>
        <w:t> </w:t>
      </w:r>
      <w:r>
        <w:rPr>
          <w:sz w:val="19"/>
        </w:rPr>
        <w:t>report</w:t>
      </w:r>
      <w:r>
        <w:rPr>
          <w:spacing w:val="-2"/>
          <w:sz w:val="19"/>
        </w:rPr>
        <w:t> </w:t>
      </w:r>
      <w:r>
        <w:rPr>
          <w:sz w:val="19"/>
        </w:rPr>
        <w:t>of</w:t>
      </w:r>
      <w:r>
        <w:rPr>
          <w:spacing w:val="-1"/>
          <w:sz w:val="19"/>
        </w:rPr>
        <w:t> </w:t>
      </w:r>
      <w:r>
        <w:rPr>
          <w:sz w:val="19"/>
        </w:rPr>
        <w:t>any</w:t>
      </w:r>
      <w:r>
        <w:rPr>
          <w:spacing w:val="-2"/>
          <w:sz w:val="19"/>
        </w:rPr>
        <w:t> </w:t>
      </w:r>
      <w:r>
        <w:rPr>
          <w:sz w:val="19"/>
        </w:rPr>
        <w:t>identified</w:t>
      </w:r>
      <w:r>
        <w:rPr>
          <w:spacing w:val="-1"/>
          <w:sz w:val="19"/>
        </w:rPr>
        <w:t> </w:t>
      </w:r>
      <w:r>
        <w:rPr>
          <w:b/>
          <w:sz w:val="19"/>
        </w:rPr>
        <w:t>surplus</w:t>
      </w:r>
      <w:r>
        <w:rPr>
          <w:b/>
          <w:spacing w:val="-2"/>
          <w:sz w:val="19"/>
        </w:rPr>
        <w:t> </w:t>
      </w:r>
      <w:r>
        <w:rPr>
          <w:b/>
          <w:sz w:val="19"/>
        </w:rPr>
        <w:t>cargo</w:t>
      </w:r>
      <w:r>
        <w:rPr>
          <w:b/>
          <w:spacing w:val="-2"/>
          <w:sz w:val="19"/>
        </w:rPr>
        <w:t> </w:t>
      </w:r>
      <w:r>
        <w:rPr>
          <w:sz w:val="19"/>
        </w:rPr>
        <w:t>is</w:t>
      </w:r>
      <w:r>
        <w:rPr>
          <w:spacing w:val="-1"/>
          <w:sz w:val="19"/>
        </w:rPr>
        <w:t> </w:t>
      </w:r>
      <w:r>
        <w:rPr>
          <w:sz w:val="19"/>
        </w:rPr>
        <w:t>to</w:t>
      </w:r>
      <w:r>
        <w:rPr>
          <w:spacing w:val="-2"/>
          <w:sz w:val="19"/>
        </w:rPr>
        <w:t> </w:t>
      </w:r>
      <w:r>
        <w:rPr>
          <w:sz w:val="19"/>
        </w:rPr>
        <w:t>be</w:t>
      </w:r>
      <w:r>
        <w:rPr>
          <w:spacing w:val="-1"/>
          <w:sz w:val="19"/>
        </w:rPr>
        <w:t> </w:t>
      </w:r>
      <w:r>
        <w:rPr>
          <w:sz w:val="19"/>
        </w:rPr>
        <w:t>provided</w:t>
      </w:r>
      <w:r>
        <w:rPr>
          <w:spacing w:val="-2"/>
          <w:sz w:val="19"/>
        </w:rPr>
        <w:t> </w:t>
      </w:r>
      <w:r>
        <w:rPr>
          <w:sz w:val="19"/>
        </w:rPr>
        <w:t>through</w:t>
      </w:r>
      <w:r>
        <w:rPr>
          <w:spacing w:val="-1"/>
          <w:sz w:val="19"/>
        </w:rPr>
        <w:t> </w:t>
      </w:r>
      <w:r>
        <w:rPr>
          <w:sz w:val="19"/>
        </w:rPr>
        <w:t>ACA.</w:t>
      </w:r>
    </w:p>
    <w:p>
      <w:pPr>
        <w:pStyle w:val="ListParagraph"/>
        <w:numPr>
          <w:ilvl w:val="0"/>
          <w:numId w:val="1"/>
        </w:numPr>
        <w:tabs>
          <w:tab w:pos="374" w:val="left" w:leader="none"/>
        </w:tabs>
        <w:spacing w:line="216" w:lineRule="exact" w:before="0" w:after="0"/>
        <w:ind w:left="373" w:right="0" w:hanging="212"/>
        <w:jc w:val="left"/>
        <w:rPr>
          <w:sz w:val="19"/>
        </w:rPr>
      </w:pPr>
      <w:r>
        <w:rPr>
          <w:b/>
          <w:sz w:val="19"/>
        </w:rPr>
        <w:t>Underbond</w:t>
      </w:r>
      <w:r>
        <w:rPr>
          <w:b/>
          <w:spacing w:val="-3"/>
          <w:sz w:val="19"/>
        </w:rPr>
        <w:t> </w:t>
      </w:r>
      <w:r>
        <w:rPr>
          <w:b/>
          <w:sz w:val="19"/>
        </w:rPr>
        <w:t>requests</w:t>
      </w:r>
      <w:r>
        <w:rPr>
          <w:b/>
          <w:spacing w:val="-2"/>
          <w:sz w:val="19"/>
        </w:rPr>
        <w:t> </w:t>
      </w:r>
      <w:r>
        <w:rPr>
          <w:sz w:val="19"/>
        </w:rPr>
        <w:t>through</w:t>
      </w:r>
      <w:r>
        <w:rPr>
          <w:spacing w:val="-2"/>
          <w:sz w:val="19"/>
        </w:rPr>
        <w:t> </w:t>
      </w:r>
      <w:r>
        <w:rPr>
          <w:sz w:val="19"/>
        </w:rPr>
        <w:t>ACA</w:t>
      </w:r>
      <w:r>
        <w:rPr>
          <w:spacing w:val="-3"/>
          <w:sz w:val="19"/>
        </w:rPr>
        <w:t> </w:t>
      </w:r>
      <w:r>
        <w:rPr>
          <w:sz w:val="19"/>
        </w:rPr>
        <w:t>will</w:t>
      </w:r>
      <w:r>
        <w:rPr>
          <w:spacing w:val="-2"/>
          <w:sz w:val="19"/>
        </w:rPr>
        <w:t> </w:t>
      </w:r>
      <w:r>
        <w:rPr>
          <w:sz w:val="19"/>
        </w:rPr>
        <w:t>be</w:t>
      </w:r>
      <w:r>
        <w:rPr>
          <w:spacing w:val="-2"/>
          <w:sz w:val="19"/>
        </w:rPr>
        <w:t> </w:t>
      </w:r>
      <w:r>
        <w:rPr>
          <w:sz w:val="19"/>
        </w:rPr>
        <w:t>required</w:t>
      </w:r>
      <w:r>
        <w:rPr>
          <w:spacing w:val="-2"/>
          <w:sz w:val="19"/>
        </w:rPr>
        <w:t> </w:t>
      </w:r>
      <w:r>
        <w:rPr>
          <w:sz w:val="19"/>
        </w:rPr>
        <w:t>for</w:t>
      </w:r>
      <w:r>
        <w:rPr>
          <w:spacing w:val="-3"/>
          <w:sz w:val="19"/>
        </w:rPr>
        <w:t> </w:t>
      </w:r>
      <w:r>
        <w:rPr>
          <w:sz w:val="19"/>
        </w:rPr>
        <w:t>all</w:t>
      </w:r>
      <w:r>
        <w:rPr>
          <w:spacing w:val="-2"/>
          <w:sz w:val="19"/>
        </w:rPr>
        <w:t> </w:t>
      </w:r>
      <w:r>
        <w:rPr>
          <w:sz w:val="19"/>
        </w:rPr>
        <w:t>movements,</w:t>
      </w:r>
      <w:r>
        <w:rPr>
          <w:spacing w:val="-2"/>
          <w:sz w:val="19"/>
        </w:rPr>
        <w:t> </w:t>
      </w:r>
      <w:r>
        <w:rPr>
          <w:sz w:val="19"/>
        </w:rPr>
        <w:t>however</w:t>
      </w:r>
      <w:r>
        <w:rPr>
          <w:spacing w:val="-2"/>
          <w:sz w:val="19"/>
        </w:rPr>
        <w:t> </w:t>
      </w:r>
      <w:r>
        <w:rPr>
          <w:sz w:val="19"/>
        </w:rPr>
        <w:t>cargo</w:t>
      </w:r>
      <w:r>
        <w:rPr>
          <w:spacing w:val="-3"/>
          <w:sz w:val="19"/>
        </w:rPr>
        <w:t> </w:t>
      </w:r>
      <w:r>
        <w:rPr>
          <w:sz w:val="19"/>
        </w:rPr>
        <w:t>may</w:t>
      </w:r>
      <w:r>
        <w:rPr>
          <w:spacing w:val="-2"/>
          <w:sz w:val="19"/>
        </w:rPr>
        <w:t> </w:t>
      </w:r>
      <w:r>
        <w:rPr>
          <w:sz w:val="19"/>
        </w:rPr>
        <w:t>be</w:t>
      </w:r>
      <w:r>
        <w:rPr>
          <w:spacing w:val="-2"/>
          <w:sz w:val="19"/>
        </w:rPr>
        <w:t> </w:t>
      </w:r>
      <w:r>
        <w:rPr>
          <w:sz w:val="19"/>
        </w:rPr>
        <w:t>released</w:t>
      </w:r>
      <w:r>
        <w:rPr>
          <w:spacing w:val="-2"/>
          <w:sz w:val="19"/>
        </w:rPr>
        <w:t> </w:t>
      </w:r>
      <w:r>
        <w:rPr>
          <w:sz w:val="19"/>
        </w:rPr>
        <w:t>for</w:t>
      </w:r>
      <w:r>
        <w:rPr>
          <w:spacing w:val="-3"/>
          <w:sz w:val="19"/>
        </w:rPr>
        <w:t> </w:t>
      </w:r>
      <w:r>
        <w:rPr>
          <w:sz w:val="19"/>
        </w:rPr>
        <w:t>interstate</w:t>
      </w:r>
      <w:r>
        <w:rPr>
          <w:spacing w:val="-2"/>
          <w:sz w:val="19"/>
        </w:rPr>
        <w:t> </w:t>
      </w:r>
      <w:r>
        <w:rPr>
          <w:sz w:val="19"/>
        </w:rPr>
        <w:t>underbond</w:t>
      </w:r>
      <w:r>
        <w:rPr>
          <w:spacing w:val="-2"/>
          <w:sz w:val="19"/>
        </w:rPr>
        <w:t> </w:t>
      </w:r>
      <w:r>
        <w:rPr>
          <w:sz w:val="19"/>
        </w:rPr>
        <w:t>movements</w:t>
      </w:r>
      <w:r>
        <w:rPr>
          <w:spacing w:val="-2"/>
          <w:sz w:val="19"/>
        </w:rPr>
        <w:t> </w:t>
      </w:r>
      <w:r>
        <w:rPr>
          <w:sz w:val="19"/>
        </w:rPr>
        <w:t>prior</w:t>
      </w:r>
      <w:r>
        <w:rPr>
          <w:spacing w:val="-3"/>
          <w:sz w:val="19"/>
        </w:rPr>
        <w:t> </w:t>
      </w:r>
      <w:r>
        <w:rPr>
          <w:sz w:val="19"/>
        </w:rPr>
        <w:t>to</w:t>
      </w:r>
      <w:r>
        <w:rPr>
          <w:spacing w:val="-2"/>
          <w:sz w:val="19"/>
        </w:rPr>
        <w:t> </w:t>
      </w:r>
      <w:r>
        <w:rPr>
          <w:sz w:val="19"/>
        </w:rPr>
        <w:t>receiving</w:t>
      </w:r>
      <w:r>
        <w:rPr>
          <w:spacing w:val="-2"/>
          <w:sz w:val="19"/>
        </w:rPr>
        <w:t> </w:t>
      </w:r>
      <w:r>
        <w:rPr>
          <w:sz w:val="19"/>
        </w:rPr>
        <w:t>a</w:t>
      </w:r>
      <w:r>
        <w:rPr>
          <w:spacing w:val="-2"/>
          <w:sz w:val="19"/>
        </w:rPr>
        <w:t> </w:t>
      </w:r>
      <w:r>
        <w:rPr>
          <w:sz w:val="19"/>
        </w:rPr>
        <w:t>return</w:t>
      </w:r>
      <w:r>
        <w:rPr>
          <w:spacing w:val="-3"/>
          <w:sz w:val="19"/>
        </w:rPr>
        <w:t> </w:t>
      </w:r>
      <w:r>
        <w:rPr>
          <w:sz w:val="19"/>
        </w:rPr>
        <w:t>ACA</w:t>
      </w:r>
      <w:r>
        <w:rPr>
          <w:spacing w:val="-2"/>
          <w:sz w:val="19"/>
        </w:rPr>
        <w:t> </w:t>
      </w:r>
      <w:r>
        <w:rPr>
          <w:sz w:val="19"/>
        </w:rPr>
        <w:t>status.</w:t>
      </w:r>
    </w:p>
    <w:p>
      <w:pPr>
        <w:pStyle w:val="Heading1"/>
        <w:numPr>
          <w:ilvl w:val="0"/>
          <w:numId w:val="1"/>
        </w:numPr>
        <w:tabs>
          <w:tab w:pos="374" w:val="left" w:leader="none"/>
        </w:tabs>
        <w:spacing w:line="216" w:lineRule="exact" w:before="0" w:after="0"/>
        <w:ind w:left="373" w:right="0" w:hanging="212"/>
        <w:jc w:val="left"/>
      </w:pPr>
      <w:r>
        <w:rPr/>
        <w:t>A</w:t>
      </w:r>
      <w:r>
        <w:rPr>
          <w:spacing w:val="-2"/>
        </w:rPr>
        <w:t> </w:t>
      </w:r>
      <w:r>
        <w:rPr/>
        <w:t>secure</w:t>
      </w:r>
      <w:r>
        <w:rPr>
          <w:spacing w:val="-2"/>
        </w:rPr>
        <w:t> </w:t>
      </w:r>
      <w:r>
        <w:rPr/>
        <w:t>intervention</w:t>
      </w:r>
      <w:r>
        <w:rPr>
          <w:spacing w:val="-2"/>
        </w:rPr>
        <w:t> </w:t>
      </w:r>
      <w:r>
        <w:rPr/>
        <w:t>process</w:t>
      </w:r>
      <w:r>
        <w:rPr>
          <w:spacing w:val="-2"/>
        </w:rPr>
        <w:t> </w:t>
      </w:r>
      <w:r>
        <w:rPr/>
        <w:t>is</w:t>
      </w:r>
      <w:r>
        <w:rPr>
          <w:spacing w:val="-1"/>
        </w:rPr>
        <w:t> </w:t>
      </w:r>
      <w:r>
        <w:rPr/>
        <w:t>to</w:t>
      </w:r>
      <w:r>
        <w:rPr>
          <w:spacing w:val="-2"/>
        </w:rPr>
        <w:t> </w:t>
      </w:r>
      <w:r>
        <w:rPr/>
        <w:t>be</w:t>
      </w:r>
      <w:r>
        <w:rPr>
          <w:spacing w:val="-2"/>
        </w:rPr>
        <w:t> </w:t>
      </w:r>
      <w:r>
        <w:rPr/>
        <w:t>established</w:t>
      </w:r>
      <w:r>
        <w:rPr>
          <w:spacing w:val="-2"/>
        </w:rPr>
        <w:t> </w:t>
      </w:r>
      <w:r>
        <w:rPr/>
        <w:t>between</w:t>
      </w:r>
      <w:r>
        <w:rPr>
          <w:spacing w:val="-2"/>
        </w:rPr>
        <w:t> </w:t>
      </w:r>
      <w:r>
        <w:rPr/>
        <w:t>each</w:t>
      </w:r>
      <w:r>
        <w:rPr>
          <w:spacing w:val="-1"/>
        </w:rPr>
        <w:t> </w:t>
      </w:r>
      <w:r>
        <w:rPr/>
        <w:t>CTO</w:t>
      </w:r>
      <w:r>
        <w:rPr>
          <w:spacing w:val="-2"/>
        </w:rPr>
        <w:t> </w:t>
      </w:r>
      <w:r>
        <w:rPr/>
        <w:t>and</w:t>
      </w:r>
      <w:r>
        <w:rPr>
          <w:spacing w:val="-2"/>
        </w:rPr>
        <w:t> </w:t>
      </w:r>
      <w:r>
        <w:rPr/>
        <w:t>Customs/AQIS</w:t>
      </w:r>
      <w:r>
        <w:rPr>
          <w:spacing w:val="-2"/>
        </w:rPr>
        <w:t> </w:t>
      </w:r>
      <w:r>
        <w:rPr/>
        <w:t>in</w:t>
      </w:r>
      <w:r>
        <w:rPr>
          <w:spacing w:val="-2"/>
        </w:rPr>
        <w:t> </w:t>
      </w:r>
      <w:r>
        <w:rPr/>
        <w:t>the</w:t>
      </w:r>
      <w:r>
        <w:rPr>
          <w:spacing w:val="-1"/>
        </w:rPr>
        <w:t> </w:t>
      </w:r>
      <w:r>
        <w:rPr/>
        <w:t>event</w:t>
      </w:r>
      <w:r>
        <w:rPr>
          <w:spacing w:val="-2"/>
        </w:rPr>
        <w:t> </w:t>
      </w:r>
      <w:r>
        <w:rPr/>
        <w:t>that</w:t>
      </w:r>
      <w:r>
        <w:rPr>
          <w:spacing w:val="-2"/>
        </w:rPr>
        <w:t> </w:t>
      </w:r>
      <w:r>
        <w:rPr/>
        <w:t>cargo</w:t>
      </w:r>
      <w:r>
        <w:rPr>
          <w:spacing w:val="-2"/>
        </w:rPr>
        <w:t> </w:t>
      </w:r>
      <w:r>
        <w:rPr/>
        <w:t>is</w:t>
      </w:r>
      <w:r>
        <w:rPr>
          <w:spacing w:val="-2"/>
        </w:rPr>
        <w:t> </w:t>
      </w:r>
      <w:r>
        <w:rPr/>
        <w:t>to</w:t>
      </w:r>
      <w:r>
        <w:rPr>
          <w:spacing w:val="-1"/>
        </w:rPr>
        <w:t> </w:t>
      </w:r>
      <w:r>
        <w:rPr/>
        <w:t>be</w:t>
      </w:r>
      <w:r>
        <w:rPr>
          <w:spacing w:val="-2"/>
        </w:rPr>
        <w:t> </w:t>
      </w:r>
      <w:r>
        <w:rPr/>
        <w:t>examined</w:t>
      </w:r>
      <w:r>
        <w:rPr>
          <w:spacing w:val="-2"/>
        </w:rPr>
        <w:t> </w:t>
      </w:r>
      <w:r>
        <w:rPr/>
        <w:t>in</w:t>
      </w:r>
      <w:r>
        <w:rPr>
          <w:spacing w:val="-2"/>
        </w:rPr>
        <w:t> </w:t>
      </w:r>
      <w:r>
        <w:rPr/>
        <w:t>the</w:t>
      </w:r>
      <w:r>
        <w:rPr>
          <w:spacing w:val="-2"/>
        </w:rPr>
        <w:t> </w:t>
      </w:r>
      <w:r>
        <w:rPr/>
        <w:t>port</w:t>
      </w:r>
      <w:r>
        <w:rPr>
          <w:spacing w:val="-1"/>
        </w:rPr>
        <w:t> </w:t>
      </w:r>
      <w:r>
        <w:rPr/>
        <w:t>of</w:t>
      </w:r>
      <w:r>
        <w:rPr>
          <w:spacing w:val="-2"/>
        </w:rPr>
        <w:t> </w:t>
      </w:r>
      <w:r>
        <w:rPr/>
        <w:t>discharge.</w:t>
      </w:r>
    </w:p>
    <w:p>
      <w:pPr>
        <w:pStyle w:val="ListParagraph"/>
        <w:numPr>
          <w:ilvl w:val="0"/>
          <w:numId w:val="1"/>
        </w:numPr>
        <w:tabs>
          <w:tab w:pos="374" w:val="left" w:leader="none"/>
        </w:tabs>
        <w:spacing w:line="216" w:lineRule="exact" w:before="0" w:after="0"/>
        <w:ind w:left="373" w:right="0" w:hanging="212"/>
        <w:jc w:val="left"/>
        <w:rPr>
          <w:sz w:val="19"/>
        </w:rPr>
      </w:pPr>
      <w:r>
        <w:rPr>
          <w:sz w:val="19"/>
        </w:rPr>
        <w:t>CTO's are to provide through ACA a complete report for all cargo at the port of discharge </w:t>
      </w:r>
      <w:r>
        <w:rPr>
          <w:b/>
          <w:sz w:val="19"/>
        </w:rPr>
        <w:t>(including "Air-side</w:t>
      </w:r>
      <w:r>
        <w:rPr>
          <w:b/>
          <w:spacing w:val="-25"/>
          <w:sz w:val="19"/>
        </w:rPr>
        <w:t> </w:t>
      </w:r>
      <w:r>
        <w:rPr>
          <w:b/>
          <w:sz w:val="19"/>
        </w:rPr>
        <w:t>transfers")</w:t>
      </w:r>
      <w:r>
        <w:rPr>
          <w:sz w:val="19"/>
        </w:rPr>
        <w:t>.</w:t>
      </w:r>
    </w:p>
    <w:p>
      <w:pPr>
        <w:pStyle w:val="ListParagraph"/>
        <w:numPr>
          <w:ilvl w:val="0"/>
          <w:numId w:val="1"/>
        </w:numPr>
        <w:tabs>
          <w:tab w:pos="374" w:val="left" w:leader="none"/>
        </w:tabs>
        <w:spacing w:line="216" w:lineRule="exact" w:before="0" w:after="0"/>
        <w:ind w:left="373" w:right="0" w:hanging="212"/>
        <w:jc w:val="left"/>
        <w:rPr>
          <w:sz w:val="19"/>
        </w:rPr>
      </w:pPr>
      <w:r>
        <w:rPr>
          <w:sz w:val="19"/>
        </w:rPr>
        <w:t>CTO's</w:t>
      </w:r>
      <w:r>
        <w:rPr>
          <w:spacing w:val="-2"/>
          <w:sz w:val="19"/>
        </w:rPr>
        <w:t> </w:t>
      </w:r>
      <w:r>
        <w:rPr>
          <w:sz w:val="19"/>
        </w:rPr>
        <w:t>at</w:t>
      </w:r>
      <w:r>
        <w:rPr>
          <w:spacing w:val="-2"/>
          <w:sz w:val="19"/>
        </w:rPr>
        <w:t> </w:t>
      </w:r>
      <w:r>
        <w:rPr>
          <w:sz w:val="19"/>
        </w:rPr>
        <w:t>the</w:t>
      </w:r>
      <w:r>
        <w:rPr>
          <w:spacing w:val="-1"/>
          <w:sz w:val="19"/>
        </w:rPr>
        <w:t> </w:t>
      </w:r>
      <w:r>
        <w:rPr>
          <w:sz w:val="19"/>
        </w:rPr>
        <w:t>destination</w:t>
      </w:r>
      <w:r>
        <w:rPr>
          <w:spacing w:val="-2"/>
          <w:sz w:val="19"/>
        </w:rPr>
        <w:t> </w:t>
      </w:r>
      <w:r>
        <w:rPr>
          <w:sz w:val="19"/>
        </w:rPr>
        <w:t>port</w:t>
      </w:r>
      <w:r>
        <w:rPr>
          <w:spacing w:val="-1"/>
          <w:sz w:val="19"/>
        </w:rPr>
        <w:t> </w:t>
      </w:r>
      <w:r>
        <w:rPr>
          <w:sz w:val="19"/>
        </w:rPr>
        <w:t>are</w:t>
      </w:r>
      <w:r>
        <w:rPr>
          <w:spacing w:val="-2"/>
          <w:sz w:val="19"/>
        </w:rPr>
        <w:t> </w:t>
      </w:r>
      <w:r>
        <w:rPr>
          <w:sz w:val="19"/>
        </w:rPr>
        <w:t>to</w:t>
      </w:r>
      <w:r>
        <w:rPr>
          <w:spacing w:val="-1"/>
          <w:sz w:val="19"/>
        </w:rPr>
        <w:t> </w:t>
      </w:r>
      <w:r>
        <w:rPr>
          <w:sz w:val="19"/>
        </w:rPr>
        <w:t>check-in</w:t>
      </w:r>
      <w:r>
        <w:rPr>
          <w:spacing w:val="-2"/>
          <w:sz w:val="19"/>
        </w:rPr>
        <w:t> </w:t>
      </w:r>
      <w:r>
        <w:rPr>
          <w:sz w:val="19"/>
        </w:rPr>
        <w:t>all</w:t>
      </w:r>
      <w:r>
        <w:rPr>
          <w:spacing w:val="-1"/>
          <w:sz w:val="19"/>
        </w:rPr>
        <w:t> </w:t>
      </w:r>
      <w:r>
        <w:rPr>
          <w:sz w:val="19"/>
        </w:rPr>
        <w:t>underbond</w:t>
      </w:r>
      <w:r>
        <w:rPr>
          <w:spacing w:val="-2"/>
          <w:sz w:val="19"/>
        </w:rPr>
        <w:t> </w:t>
      </w:r>
      <w:r>
        <w:rPr>
          <w:sz w:val="19"/>
        </w:rPr>
        <w:t>cargo</w:t>
      </w:r>
      <w:r>
        <w:rPr>
          <w:spacing w:val="-1"/>
          <w:sz w:val="19"/>
        </w:rPr>
        <w:t> </w:t>
      </w:r>
      <w:r>
        <w:rPr>
          <w:sz w:val="19"/>
        </w:rPr>
        <w:t>and</w:t>
      </w:r>
      <w:r>
        <w:rPr>
          <w:spacing w:val="-2"/>
          <w:sz w:val="19"/>
        </w:rPr>
        <w:t> </w:t>
      </w:r>
      <w:r>
        <w:rPr>
          <w:sz w:val="19"/>
        </w:rPr>
        <w:t>acquit</w:t>
      </w:r>
      <w:r>
        <w:rPr>
          <w:spacing w:val="-1"/>
          <w:sz w:val="19"/>
        </w:rPr>
        <w:t> </w:t>
      </w:r>
      <w:r>
        <w:rPr>
          <w:sz w:val="19"/>
        </w:rPr>
        <w:t>the</w:t>
      </w:r>
      <w:r>
        <w:rPr>
          <w:spacing w:val="-2"/>
          <w:sz w:val="19"/>
        </w:rPr>
        <w:t> </w:t>
      </w:r>
      <w:r>
        <w:rPr>
          <w:sz w:val="19"/>
        </w:rPr>
        <w:t>movement</w:t>
      </w:r>
      <w:r>
        <w:rPr>
          <w:spacing w:val="-1"/>
          <w:sz w:val="19"/>
        </w:rPr>
        <w:t> </w:t>
      </w:r>
      <w:r>
        <w:rPr>
          <w:sz w:val="19"/>
        </w:rPr>
        <w:t>through</w:t>
      </w:r>
      <w:r>
        <w:rPr>
          <w:spacing w:val="-2"/>
          <w:sz w:val="19"/>
        </w:rPr>
        <w:t> </w:t>
      </w:r>
      <w:r>
        <w:rPr>
          <w:sz w:val="19"/>
        </w:rPr>
        <w:t>ACA</w:t>
      </w:r>
      <w:r>
        <w:rPr>
          <w:spacing w:val="-2"/>
          <w:sz w:val="19"/>
        </w:rPr>
        <w:t> </w:t>
      </w:r>
      <w:r>
        <w:rPr>
          <w:sz w:val="19"/>
        </w:rPr>
        <w:t>within</w:t>
      </w:r>
      <w:r>
        <w:rPr>
          <w:spacing w:val="-1"/>
          <w:sz w:val="19"/>
        </w:rPr>
        <w:t> </w:t>
      </w:r>
      <w:r>
        <w:rPr>
          <w:b/>
          <w:sz w:val="19"/>
        </w:rPr>
        <w:t>24</w:t>
      </w:r>
      <w:r>
        <w:rPr>
          <w:b/>
          <w:spacing w:val="-2"/>
          <w:sz w:val="19"/>
        </w:rPr>
        <w:t> </w:t>
      </w:r>
      <w:r>
        <w:rPr>
          <w:b/>
          <w:sz w:val="19"/>
        </w:rPr>
        <w:t>hours</w:t>
      </w:r>
      <w:r>
        <w:rPr>
          <w:b/>
          <w:spacing w:val="-1"/>
          <w:sz w:val="19"/>
        </w:rPr>
        <w:t> </w:t>
      </w:r>
      <w:r>
        <w:rPr>
          <w:sz w:val="19"/>
        </w:rPr>
        <w:t>of</w:t>
      </w:r>
      <w:r>
        <w:rPr>
          <w:spacing w:val="-2"/>
          <w:sz w:val="19"/>
        </w:rPr>
        <w:t> </w:t>
      </w:r>
      <w:r>
        <w:rPr>
          <w:sz w:val="19"/>
        </w:rPr>
        <w:t>arrival</w:t>
      </w:r>
      <w:r>
        <w:rPr>
          <w:spacing w:val="-1"/>
          <w:sz w:val="19"/>
        </w:rPr>
        <w:t> </w:t>
      </w:r>
      <w:r>
        <w:rPr>
          <w:sz w:val="19"/>
        </w:rPr>
        <w:t>at</w:t>
      </w:r>
      <w:r>
        <w:rPr>
          <w:spacing w:val="-2"/>
          <w:sz w:val="19"/>
        </w:rPr>
        <w:t> </w:t>
      </w:r>
      <w:r>
        <w:rPr>
          <w:sz w:val="19"/>
        </w:rPr>
        <w:t>the</w:t>
      </w:r>
      <w:r>
        <w:rPr>
          <w:spacing w:val="-1"/>
          <w:sz w:val="19"/>
        </w:rPr>
        <w:t> </w:t>
      </w:r>
      <w:r>
        <w:rPr>
          <w:sz w:val="19"/>
        </w:rPr>
        <w:t>destination</w:t>
      </w:r>
      <w:r>
        <w:rPr>
          <w:spacing w:val="-2"/>
          <w:sz w:val="19"/>
        </w:rPr>
        <w:t> </w:t>
      </w:r>
      <w:r>
        <w:rPr>
          <w:sz w:val="19"/>
        </w:rPr>
        <w:t>port.</w:t>
      </w:r>
    </w:p>
    <w:p>
      <w:pPr>
        <w:pStyle w:val="ListParagraph"/>
        <w:numPr>
          <w:ilvl w:val="0"/>
          <w:numId w:val="1"/>
        </w:numPr>
        <w:tabs>
          <w:tab w:pos="374" w:val="left" w:leader="none"/>
        </w:tabs>
        <w:spacing w:line="237" w:lineRule="auto" w:before="0" w:after="0"/>
        <w:ind w:left="373" w:right="378" w:hanging="211"/>
        <w:jc w:val="left"/>
        <w:rPr>
          <w:sz w:val="19"/>
        </w:rPr>
      </w:pPr>
      <w:r>
        <w:rPr>
          <w:sz w:val="19"/>
        </w:rPr>
        <w:t>CTO's</w:t>
      </w:r>
      <w:r>
        <w:rPr>
          <w:spacing w:val="-3"/>
          <w:sz w:val="19"/>
        </w:rPr>
        <w:t> </w:t>
      </w:r>
      <w:r>
        <w:rPr>
          <w:sz w:val="19"/>
        </w:rPr>
        <w:t>will</w:t>
      </w:r>
      <w:r>
        <w:rPr>
          <w:spacing w:val="-3"/>
          <w:sz w:val="19"/>
        </w:rPr>
        <w:t> </w:t>
      </w:r>
      <w:r>
        <w:rPr>
          <w:sz w:val="19"/>
        </w:rPr>
        <w:t>be</w:t>
      </w:r>
      <w:r>
        <w:rPr>
          <w:spacing w:val="-3"/>
          <w:sz w:val="19"/>
        </w:rPr>
        <w:t> </w:t>
      </w:r>
      <w:r>
        <w:rPr>
          <w:sz w:val="19"/>
        </w:rPr>
        <w:t>required</w:t>
      </w:r>
      <w:r>
        <w:rPr>
          <w:spacing w:val="-3"/>
          <w:sz w:val="19"/>
        </w:rPr>
        <w:t> </w:t>
      </w:r>
      <w:r>
        <w:rPr>
          <w:sz w:val="19"/>
        </w:rPr>
        <w:t>to</w:t>
      </w:r>
      <w:r>
        <w:rPr>
          <w:spacing w:val="-2"/>
          <w:sz w:val="19"/>
        </w:rPr>
        <w:t> </w:t>
      </w:r>
      <w:r>
        <w:rPr>
          <w:sz w:val="19"/>
        </w:rPr>
        <w:t>comply</w:t>
      </w:r>
      <w:r>
        <w:rPr>
          <w:spacing w:val="-3"/>
          <w:sz w:val="19"/>
        </w:rPr>
        <w:t> </w:t>
      </w:r>
      <w:r>
        <w:rPr>
          <w:sz w:val="19"/>
        </w:rPr>
        <w:t>with</w:t>
      </w:r>
      <w:r>
        <w:rPr>
          <w:spacing w:val="-3"/>
          <w:sz w:val="19"/>
        </w:rPr>
        <w:t> </w:t>
      </w:r>
      <w:r>
        <w:rPr>
          <w:sz w:val="19"/>
        </w:rPr>
        <w:t>procedures</w:t>
      </w:r>
      <w:r>
        <w:rPr>
          <w:spacing w:val="-3"/>
          <w:sz w:val="19"/>
        </w:rPr>
        <w:t> </w:t>
      </w:r>
      <w:r>
        <w:rPr>
          <w:sz w:val="19"/>
        </w:rPr>
        <w:t>required</w:t>
      </w:r>
      <w:r>
        <w:rPr>
          <w:spacing w:val="-2"/>
          <w:sz w:val="19"/>
        </w:rPr>
        <w:t> </w:t>
      </w:r>
      <w:r>
        <w:rPr>
          <w:sz w:val="19"/>
        </w:rPr>
        <w:t>for</w:t>
      </w:r>
      <w:r>
        <w:rPr>
          <w:spacing w:val="-3"/>
          <w:sz w:val="19"/>
        </w:rPr>
        <w:t> </w:t>
      </w:r>
      <w:r>
        <w:rPr>
          <w:sz w:val="19"/>
        </w:rPr>
        <w:t>the</w:t>
      </w:r>
      <w:r>
        <w:rPr>
          <w:spacing w:val="-3"/>
          <w:sz w:val="19"/>
        </w:rPr>
        <w:t> </w:t>
      </w:r>
      <w:r>
        <w:rPr>
          <w:sz w:val="19"/>
        </w:rPr>
        <w:t>handling</w:t>
      </w:r>
      <w:r>
        <w:rPr>
          <w:spacing w:val="-3"/>
          <w:sz w:val="19"/>
        </w:rPr>
        <w:t> </w:t>
      </w:r>
      <w:r>
        <w:rPr>
          <w:sz w:val="19"/>
        </w:rPr>
        <w:t>of</w:t>
      </w:r>
      <w:r>
        <w:rPr>
          <w:spacing w:val="-2"/>
          <w:sz w:val="19"/>
        </w:rPr>
        <w:t> </w:t>
      </w:r>
      <w:r>
        <w:rPr>
          <w:sz w:val="19"/>
        </w:rPr>
        <w:t>goods</w:t>
      </w:r>
      <w:r>
        <w:rPr>
          <w:spacing w:val="-3"/>
          <w:sz w:val="19"/>
        </w:rPr>
        <w:t> </w:t>
      </w:r>
      <w:r>
        <w:rPr>
          <w:sz w:val="19"/>
        </w:rPr>
        <w:t>that</w:t>
      </w:r>
      <w:r>
        <w:rPr>
          <w:spacing w:val="-3"/>
          <w:sz w:val="19"/>
        </w:rPr>
        <w:t> </w:t>
      </w:r>
      <w:r>
        <w:rPr>
          <w:sz w:val="19"/>
        </w:rPr>
        <w:t>are</w:t>
      </w:r>
      <w:r>
        <w:rPr>
          <w:spacing w:val="-3"/>
          <w:sz w:val="19"/>
        </w:rPr>
        <w:t> </w:t>
      </w:r>
      <w:r>
        <w:rPr>
          <w:sz w:val="19"/>
        </w:rPr>
        <w:t>specifically</w:t>
      </w:r>
      <w:r>
        <w:rPr>
          <w:spacing w:val="-2"/>
          <w:sz w:val="19"/>
        </w:rPr>
        <w:t> </w:t>
      </w:r>
      <w:r>
        <w:rPr>
          <w:sz w:val="19"/>
        </w:rPr>
        <w:t>categorised</w:t>
      </w:r>
      <w:r>
        <w:rPr>
          <w:spacing w:val="-3"/>
          <w:sz w:val="19"/>
        </w:rPr>
        <w:t> </w:t>
      </w:r>
      <w:r>
        <w:rPr>
          <w:sz w:val="19"/>
        </w:rPr>
        <w:t>by</w:t>
      </w:r>
      <w:r>
        <w:rPr>
          <w:spacing w:val="-3"/>
          <w:sz w:val="19"/>
        </w:rPr>
        <w:t> </w:t>
      </w:r>
      <w:r>
        <w:rPr>
          <w:sz w:val="19"/>
        </w:rPr>
        <w:t>AQIS</w:t>
      </w:r>
      <w:r>
        <w:rPr>
          <w:spacing w:val="-3"/>
          <w:sz w:val="19"/>
        </w:rPr>
        <w:t> </w:t>
      </w:r>
      <w:r>
        <w:rPr>
          <w:sz w:val="19"/>
        </w:rPr>
        <w:t>as</w:t>
      </w:r>
      <w:r>
        <w:rPr>
          <w:spacing w:val="-2"/>
          <w:sz w:val="19"/>
        </w:rPr>
        <w:t> </w:t>
      </w:r>
      <w:r>
        <w:rPr>
          <w:b/>
          <w:sz w:val="19"/>
        </w:rPr>
        <w:t>"high</w:t>
      </w:r>
      <w:r>
        <w:rPr>
          <w:b/>
          <w:spacing w:val="-3"/>
          <w:sz w:val="19"/>
        </w:rPr>
        <w:t> </w:t>
      </w:r>
      <w:r>
        <w:rPr>
          <w:b/>
          <w:sz w:val="19"/>
        </w:rPr>
        <w:t>risk"</w:t>
      </w:r>
      <w:r>
        <w:rPr>
          <w:sz w:val="19"/>
        </w:rPr>
        <w:t>.</w:t>
      </w:r>
      <w:r>
        <w:rPr>
          <w:spacing w:val="-3"/>
          <w:sz w:val="19"/>
        </w:rPr>
        <w:t> </w:t>
      </w:r>
      <w:r>
        <w:rPr>
          <w:sz w:val="19"/>
        </w:rPr>
        <w:t>These</w:t>
      </w:r>
      <w:r>
        <w:rPr>
          <w:spacing w:val="-3"/>
          <w:sz w:val="19"/>
        </w:rPr>
        <w:t> </w:t>
      </w:r>
      <w:r>
        <w:rPr>
          <w:sz w:val="19"/>
        </w:rPr>
        <w:t>procedures</w:t>
      </w:r>
      <w:r>
        <w:rPr>
          <w:spacing w:val="-2"/>
          <w:sz w:val="19"/>
        </w:rPr>
        <w:t> </w:t>
      </w:r>
      <w:r>
        <w:rPr>
          <w:sz w:val="19"/>
        </w:rPr>
        <w:t>will</w:t>
      </w:r>
      <w:r>
        <w:rPr>
          <w:spacing w:val="-3"/>
          <w:sz w:val="19"/>
        </w:rPr>
        <w:t> </w:t>
      </w:r>
      <w:r>
        <w:rPr>
          <w:sz w:val="19"/>
        </w:rPr>
        <w:t>be</w:t>
      </w:r>
      <w:r>
        <w:rPr>
          <w:spacing w:val="-3"/>
          <w:sz w:val="19"/>
        </w:rPr>
        <w:t> </w:t>
      </w:r>
      <w:r>
        <w:rPr>
          <w:sz w:val="19"/>
        </w:rPr>
        <w:t>implemented in the form of separate Compliance Agreements between CTO's and</w:t>
      </w:r>
      <w:r>
        <w:rPr>
          <w:spacing w:val="-12"/>
          <w:sz w:val="19"/>
        </w:rPr>
        <w:t> </w:t>
      </w:r>
      <w:r>
        <w:rPr>
          <w:sz w:val="19"/>
        </w:rPr>
        <w:t>AQIS.</w:t>
      </w:r>
    </w:p>
    <w:p>
      <w:pPr>
        <w:pStyle w:val="BodyText"/>
        <w:spacing w:before="4"/>
        <w:rPr>
          <w:sz w:val="16"/>
        </w:rPr>
      </w:pPr>
    </w:p>
    <w:p>
      <w:pPr>
        <w:pStyle w:val="BodyText"/>
        <w:ind w:left="108"/>
      </w:pPr>
      <w:r>
        <w:rPr/>
        <w:t>NOTE : Non-compliance with any of the above conditions may see a CTO removed from this arrangement and returned to the current processes.</w:t>
      </w:r>
    </w:p>
    <w:p>
      <w:pPr>
        <w:pStyle w:val="BodyText"/>
        <w:spacing w:before="5"/>
        <w:rPr>
          <w:sz w:val="16"/>
        </w:rPr>
      </w:pPr>
    </w:p>
    <w:p>
      <w:pPr>
        <w:pStyle w:val="Heading1"/>
        <w:spacing w:line="237" w:lineRule="auto"/>
        <w:ind w:right="317" w:firstLine="0"/>
      </w:pPr>
      <w:r>
        <w:rPr/>
        <w:t>A suitable implementation date for the above arrangements has been agreed with both AQIS and industry as 1 March 1999. Participating CTO's should endeavour to lodge application requests with Customs and AQIS as soon as practicable.</w:t>
      </w:r>
    </w:p>
    <w:p>
      <w:pPr>
        <w:pStyle w:val="BodyText"/>
        <w:spacing w:before="4"/>
        <w:rPr>
          <w:b/>
          <w:sz w:val="16"/>
        </w:rPr>
      </w:pPr>
    </w:p>
    <w:p>
      <w:pPr>
        <w:pStyle w:val="BodyText"/>
        <w:ind w:left="108"/>
      </w:pPr>
      <w:r>
        <w:rPr/>
        <w:t>Any enquiries in relation to this advice should be directed to :</w:t>
      </w:r>
    </w:p>
    <w:p>
      <w:pPr>
        <w:pStyle w:val="BodyText"/>
        <w:spacing w:before="6"/>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8124"/>
        <w:gridCol w:w="7468"/>
      </w:tblGrid>
      <w:tr>
        <w:trPr>
          <w:trHeight w:val="404" w:hRule="atLeast"/>
        </w:trPr>
        <w:tc>
          <w:tcPr>
            <w:tcW w:w="8124" w:type="dxa"/>
            <w:tcBorders>
              <w:left w:val="nil"/>
            </w:tcBorders>
          </w:tcPr>
          <w:p>
            <w:pPr>
              <w:pStyle w:val="TableParagraph"/>
              <w:ind w:left="101"/>
              <w:rPr>
                <w:sz w:val="19"/>
              </w:rPr>
            </w:pPr>
            <w:r>
              <w:rPr>
                <w:color w:val="202020"/>
                <w:sz w:val="19"/>
              </w:rPr>
              <w:t>Paul Zalai PH:</w:t>
            </w:r>
          </w:p>
        </w:tc>
        <w:tc>
          <w:tcPr>
            <w:tcW w:w="7468" w:type="dxa"/>
            <w:tcBorders>
              <w:right w:val="nil"/>
            </w:tcBorders>
          </w:tcPr>
          <w:p>
            <w:pPr>
              <w:pStyle w:val="TableParagraph"/>
              <w:rPr>
                <w:sz w:val="19"/>
              </w:rPr>
            </w:pPr>
            <w:r>
              <w:rPr>
                <w:color w:val="202020"/>
                <w:sz w:val="19"/>
              </w:rPr>
              <w:t>(02) 9317 7439</w:t>
            </w:r>
          </w:p>
        </w:tc>
      </w:tr>
      <w:tr>
        <w:trPr>
          <w:trHeight w:val="404" w:hRule="atLeast"/>
        </w:trPr>
        <w:tc>
          <w:tcPr>
            <w:tcW w:w="8124" w:type="dxa"/>
            <w:tcBorders>
              <w:left w:val="nil"/>
            </w:tcBorders>
          </w:tcPr>
          <w:p>
            <w:pPr>
              <w:pStyle w:val="TableParagraph"/>
              <w:ind w:left="101"/>
              <w:rPr>
                <w:sz w:val="19"/>
              </w:rPr>
            </w:pPr>
            <w:r>
              <w:rPr>
                <w:color w:val="202020"/>
                <w:sz w:val="19"/>
              </w:rPr>
              <w:t>Assistant Director FAX:</w:t>
            </w:r>
          </w:p>
        </w:tc>
        <w:tc>
          <w:tcPr>
            <w:tcW w:w="7468" w:type="dxa"/>
            <w:tcBorders>
              <w:right w:val="nil"/>
            </w:tcBorders>
          </w:tcPr>
          <w:p>
            <w:pPr>
              <w:pStyle w:val="TableParagraph"/>
              <w:rPr>
                <w:sz w:val="19"/>
              </w:rPr>
            </w:pPr>
            <w:r>
              <w:rPr>
                <w:color w:val="202020"/>
                <w:sz w:val="19"/>
              </w:rPr>
              <w:t>(02) 9317 7329</w:t>
            </w:r>
          </w:p>
        </w:tc>
      </w:tr>
      <w:tr>
        <w:trPr>
          <w:trHeight w:val="593" w:hRule="atLeast"/>
        </w:trPr>
        <w:tc>
          <w:tcPr>
            <w:tcW w:w="8124" w:type="dxa"/>
            <w:tcBorders>
              <w:left w:val="nil"/>
            </w:tcBorders>
          </w:tcPr>
          <w:p>
            <w:pPr>
              <w:pStyle w:val="TableParagraph"/>
              <w:ind w:left="101"/>
              <w:rPr>
                <w:sz w:val="19"/>
              </w:rPr>
            </w:pPr>
            <w:r>
              <w:rPr>
                <w:color w:val="202020"/>
                <w:sz w:val="19"/>
              </w:rPr>
              <w:t>Border Operations (Air) Email:</w:t>
            </w:r>
          </w:p>
        </w:tc>
        <w:tc>
          <w:tcPr>
            <w:tcW w:w="7468" w:type="dxa"/>
            <w:tcBorders>
              <w:right w:val="nil"/>
            </w:tcBorders>
          </w:tcPr>
          <w:p>
            <w:pPr>
              <w:pStyle w:val="TableParagraph"/>
              <w:rPr>
                <w:sz w:val="19"/>
              </w:rPr>
            </w:pPr>
            <w:hyperlink r:id="rId5">
              <w:r>
                <w:rPr>
                  <w:color w:val="202020"/>
                  <w:sz w:val="19"/>
                </w:rPr>
                <w:t>paul.zalai@customs.gov.au</w:t>
              </w:r>
            </w:hyperlink>
          </w:p>
        </w:tc>
      </w:tr>
    </w:tbl>
    <w:p>
      <w:pPr>
        <w:pStyle w:val="BodyText"/>
        <w:rPr>
          <w:sz w:val="20"/>
        </w:rPr>
      </w:pPr>
    </w:p>
    <w:p>
      <w:pPr>
        <w:pStyle w:val="BodyText"/>
        <w:rPr>
          <w:sz w:val="20"/>
        </w:rPr>
      </w:pPr>
    </w:p>
    <w:p>
      <w:pPr>
        <w:pStyle w:val="BodyText"/>
        <w:spacing w:before="160"/>
        <w:ind w:left="108"/>
      </w:pPr>
      <w:r>
        <w:rPr/>
        <w:t>John Howard</w:t>
      </w:r>
    </w:p>
    <w:p>
      <w:pPr>
        <w:spacing w:after="0"/>
        <w:sectPr>
          <w:type w:val="continuous"/>
          <w:pgSz w:w="16840" w:h="11900" w:orient="landscape"/>
          <w:pgMar w:top="680" w:bottom="280" w:left="580" w:right="440"/>
        </w:sectPr>
      </w:pPr>
    </w:p>
    <w:p>
      <w:pPr>
        <w:pStyle w:val="BodyText"/>
        <w:spacing w:line="237" w:lineRule="auto" w:before="79"/>
        <w:ind w:left="108" w:right="13081"/>
      </w:pPr>
      <w:r>
        <w:rPr/>
        <w:t>Acting National Manager Border Operations</w:t>
      </w:r>
    </w:p>
    <w:p>
      <w:pPr>
        <w:pStyle w:val="BodyText"/>
        <w:spacing w:before="4"/>
        <w:rPr>
          <w:sz w:val="16"/>
        </w:rPr>
      </w:pPr>
    </w:p>
    <w:p>
      <w:pPr>
        <w:pStyle w:val="BodyText"/>
        <w:ind w:left="108"/>
      </w:pPr>
      <w:r>
        <w:rPr/>
        <w:t>16 February 1999</w:t>
      </w:r>
    </w:p>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3" w:hanging="211"/>
        <w:jc w:val="left"/>
      </w:pPr>
      <w:rPr>
        <w:rFonts w:hint="default" w:ascii="Arial" w:hAnsi="Arial" w:eastAsia="Arial" w:cs="Arial"/>
        <w:spacing w:val="-11"/>
        <w:w w:val="99"/>
        <w:sz w:val="19"/>
        <w:szCs w:val="19"/>
      </w:rPr>
    </w:lvl>
    <w:lvl w:ilvl="1">
      <w:start w:val="0"/>
      <w:numFmt w:val="bullet"/>
      <w:lvlText w:val="•"/>
      <w:lvlJc w:val="left"/>
      <w:pPr>
        <w:ind w:left="1924" w:hanging="211"/>
      </w:pPr>
      <w:rPr>
        <w:rFonts w:hint="default"/>
      </w:rPr>
    </w:lvl>
    <w:lvl w:ilvl="2">
      <w:start w:val="0"/>
      <w:numFmt w:val="bullet"/>
      <w:lvlText w:val="•"/>
      <w:lvlJc w:val="left"/>
      <w:pPr>
        <w:ind w:left="3468" w:hanging="211"/>
      </w:pPr>
      <w:rPr>
        <w:rFonts w:hint="default"/>
      </w:rPr>
    </w:lvl>
    <w:lvl w:ilvl="3">
      <w:start w:val="0"/>
      <w:numFmt w:val="bullet"/>
      <w:lvlText w:val="•"/>
      <w:lvlJc w:val="left"/>
      <w:pPr>
        <w:ind w:left="5012" w:hanging="211"/>
      </w:pPr>
      <w:rPr>
        <w:rFonts w:hint="default"/>
      </w:rPr>
    </w:lvl>
    <w:lvl w:ilvl="4">
      <w:start w:val="0"/>
      <w:numFmt w:val="bullet"/>
      <w:lvlText w:val="•"/>
      <w:lvlJc w:val="left"/>
      <w:pPr>
        <w:ind w:left="6556" w:hanging="211"/>
      </w:pPr>
      <w:rPr>
        <w:rFonts w:hint="default"/>
      </w:rPr>
    </w:lvl>
    <w:lvl w:ilvl="5">
      <w:start w:val="0"/>
      <w:numFmt w:val="bullet"/>
      <w:lvlText w:val="•"/>
      <w:lvlJc w:val="left"/>
      <w:pPr>
        <w:ind w:left="8100" w:hanging="211"/>
      </w:pPr>
      <w:rPr>
        <w:rFonts w:hint="default"/>
      </w:rPr>
    </w:lvl>
    <w:lvl w:ilvl="6">
      <w:start w:val="0"/>
      <w:numFmt w:val="bullet"/>
      <w:lvlText w:val="•"/>
      <w:lvlJc w:val="left"/>
      <w:pPr>
        <w:ind w:left="9644" w:hanging="211"/>
      </w:pPr>
      <w:rPr>
        <w:rFonts w:hint="default"/>
      </w:rPr>
    </w:lvl>
    <w:lvl w:ilvl="7">
      <w:start w:val="0"/>
      <w:numFmt w:val="bullet"/>
      <w:lvlText w:val="•"/>
      <w:lvlJc w:val="left"/>
      <w:pPr>
        <w:ind w:left="11188" w:hanging="211"/>
      </w:pPr>
      <w:rPr>
        <w:rFonts w:hint="default"/>
      </w:rPr>
    </w:lvl>
    <w:lvl w:ilvl="8">
      <w:start w:val="0"/>
      <w:numFmt w:val="bullet"/>
      <w:lvlText w:val="•"/>
      <w:lvlJc w:val="left"/>
      <w:pPr>
        <w:ind w:left="12732" w:hanging="21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108" w:hanging="212"/>
      <w:outlineLvl w:val="1"/>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spacing w:line="216" w:lineRule="exact"/>
      <w:ind w:left="373" w:hanging="212"/>
    </w:pPr>
    <w:rPr>
      <w:rFonts w:ascii="Arial" w:hAnsi="Arial" w:eastAsia="Arial" w:cs="Arial"/>
    </w:rPr>
  </w:style>
  <w:style w:styleId="TableParagraph" w:type="paragraph">
    <w:name w:val="Table Paragraph"/>
    <w:basedOn w:val="Normal"/>
    <w:uiPriority w:val="1"/>
    <w:qFormat/>
    <w:pPr>
      <w:spacing w:before="91"/>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aul.zalai@customs.gov.au"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2020-12-09T22:30:38Z</dcterms:created>
  <dcterms:modified xsi:type="dcterms:W3CDTF">2020-12-09T22:30:38Z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