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43</w:t>
      </w:r>
    </w:p>
    <w:p>
      <w:pPr>
        <w:spacing w:before="357"/>
        <w:ind w:left="108" w:right="0" w:firstLine="0"/>
        <w:jc w:val="left"/>
        <w:rPr>
          <w:b/>
          <w:sz w:val="32"/>
        </w:rPr>
      </w:pPr>
      <w:r>
        <w:rPr>
          <w:b/>
          <w:color w:val="202020"/>
          <w:sz w:val="32"/>
        </w:rPr>
        <w:t>CHANGES TO THE STATISTICAL CODES IN THE CUSTOMS TARIFF</w:t>
      </w:r>
    </w:p>
    <w:p>
      <w:pPr>
        <w:pStyle w:val="BodyText"/>
        <w:spacing w:line="237" w:lineRule="auto" w:before="256"/>
        <w:ind w:right="283"/>
      </w:pPr>
      <w:r>
        <w:rPr/>
        <w:t>From 1 July 1999 there will be about 1,500 fewer statistical codes in the Customs Tariff. This reduction is the outcome of a recent review which examined the usefulness of existing statistical codes in terms of the costs to industry and Government of providing and processing the detailed information. The review was conducted by the Australian Bureau of Statistics in consultation with users of the statistics.</w:t>
      </w:r>
    </w:p>
    <w:p>
      <w:pPr>
        <w:pStyle w:val="BodyText"/>
        <w:spacing w:before="6"/>
        <w:ind w:left="0"/>
        <w:rPr>
          <w:sz w:val="16"/>
        </w:rPr>
      </w:pPr>
    </w:p>
    <w:p>
      <w:pPr>
        <w:pStyle w:val="BodyText"/>
        <w:spacing w:line="237" w:lineRule="auto"/>
        <w:ind w:right="484"/>
      </w:pPr>
      <w:r>
        <w:rPr/>
        <w:t>The review identified and removed statistical codes with little or no reported trade, with no apparent users, or with known reporting problems. As a result, from 1 July 1999 over 2,500 Harmonized Tariff Item Statistical Codes (HTISCs) will be replaced by 1,000 new codes.</w:t>
      </w:r>
    </w:p>
    <w:p>
      <w:pPr>
        <w:pStyle w:val="BodyText"/>
        <w:spacing w:before="4"/>
        <w:ind w:left="0"/>
        <w:rPr>
          <w:sz w:val="16"/>
        </w:rPr>
      </w:pPr>
    </w:p>
    <w:p>
      <w:pPr>
        <w:pStyle w:val="BodyText"/>
      </w:pPr>
      <w:r>
        <w:rPr/>
        <w:t>The revision is illustrated by the following example. Under tariff subheading 8450.11.00 information for washing machines is currently divided into four statistical codes as shown below:</w:t>
      </w:r>
    </w:p>
    <w:p>
      <w:pPr>
        <w:pStyle w:val="BodyText"/>
        <w:spacing w:before="5" w:after="1"/>
        <w:ind w:left="0"/>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084"/>
        <w:gridCol w:w="3260"/>
        <w:gridCol w:w="9240"/>
      </w:tblGrid>
      <w:tr>
        <w:trPr>
          <w:trHeight w:val="404" w:hRule="atLeast"/>
        </w:trPr>
        <w:tc>
          <w:tcPr>
            <w:tcW w:w="3084" w:type="dxa"/>
            <w:tcBorders>
              <w:left w:val="single" w:sz="6" w:space="0" w:color="808080"/>
            </w:tcBorders>
          </w:tcPr>
          <w:p>
            <w:pPr>
              <w:pStyle w:val="TableParagraph"/>
              <w:ind w:left="100"/>
              <w:rPr>
                <w:sz w:val="19"/>
              </w:rPr>
            </w:pPr>
            <w:r>
              <w:rPr>
                <w:color w:val="202020"/>
                <w:sz w:val="19"/>
              </w:rPr>
              <w:t>Reference Number</w:t>
            </w:r>
          </w:p>
        </w:tc>
        <w:tc>
          <w:tcPr>
            <w:tcW w:w="3260" w:type="dxa"/>
          </w:tcPr>
          <w:p>
            <w:pPr>
              <w:pStyle w:val="TableParagraph"/>
              <w:rPr>
                <w:sz w:val="19"/>
              </w:rPr>
            </w:pPr>
            <w:r>
              <w:rPr>
                <w:color w:val="202020"/>
                <w:sz w:val="19"/>
              </w:rPr>
              <w:t>Statistical Code/Unit</w:t>
            </w:r>
          </w:p>
        </w:tc>
        <w:tc>
          <w:tcPr>
            <w:tcW w:w="9240" w:type="dxa"/>
            <w:tcBorders>
              <w:right w:val="nil"/>
            </w:tcBorders>
          </w:tcPr>
          <w:p>
            <w:pPr>
              <w:pStyle w:val="TableParagraph"/>
              <w:rPr>
                <w:sz w:val="19"/>
              </w:rPr>
            </w:pPr>
            <w:r>
              <w:rPr>
                <w:color w:val="202020"/>
                <w:sz w:val="19"/>
              </w:rPr>
              <w:t>Goods</w:t>
            </w:r>
          </w:p>
        </w:tc>
      </w:tr>
      <w:tr>
        <w:trPr>
          <w:trHeight w:val="404" w:hRule="atLeast"/>
        </w:trPr>
        <w:tc>
          <w:tcPr>
            <w:tcW w:w="3084" w:type="dxa"/>
            <w:tcBorders>
              <w:left w:val="single" w:sz="6" w:space="0" w:color="808080"/>
            </w:tcBorders>
          </w:tcPr>
          <w:p>
            <w:pPr>
              <w:pStyle w:val="TableParagraph"/>
              <w:ind w:left="100"/>
              <w:rPr>
                <w:sz w:val="19"/>
              </w:rPr>
            </w:pPr>
            <w:r>
              <w:rPr>
                <w:color w:val="202020"/>
                <w:sz w:val="19"/>
              </w:rPr>
              <w:t>8450.11.00</w:t>
            </w:r>
          </w:p>
        </w:tc>
        <w:tc>
          <w:tcPr>
            <w:tcW w:w="3260" w:type="dxa"/>
          </w:tcPr>
          <w:p>
            <w:pPr>
              <w:pStyle w:val="TableParagraph"/>
              <w:spacing w:before="0"/>
              <w:ind w:left="0"/>
              <w:rPr>
                <w:rFonts w:ascii="Times New Roman"/>
                <w:sz w:val="18"/>
              </w:rPr>
            </w:pPr>
          </w:p>
        </w:tc>
        <w:tc>
          <w:tcPr>
            <w:tcW w:w="9240" w:type="dxa"/>
            <w:tcBorders>
              <w:right w:val="nil"/>
            </w:tcBorders>
          </w:tcPr>
          <w:p>
            <w:pPr>
              <w:pStyle w:val="TableParagraph"/>
              <w:rPr>
                <w:sz w:val="19"/>
              </w:rPr>
            </w:pPr>
            <w:r>
              <w:rPr>
                <w:color w:val="202020"/>
                <w:sz w:val="19"/>
              </w:rPr>
              <w:t>Fully-automatic machines</w:t>
            </w:r>
          </w:p>
        </w:tc>
      </w:tr>
      <w:tr>
        <w:trPr>
          <w:trHeight w:val="404" w:hRule="atLeast"/>
        </w:trPr>
        <w:tc>
          <w:tcPr>
            <w:tcW w:w="3084" w:type="dxa"/>
            <w:tcBorders>
              <w:left w:val="single" w:sz="6" w:space="0" w:color="808080"/>
            </w:tcBorders>
          </w:tcPr>
          <w:p>
            <w:pPr>
              <w:pStyle w:val="TableParagraph"/>
              <w:spacing w:before="0"/>
              <w:ind w:left="0"/>
              <w:rPr>
                <w:rFonts w:ascii="Times New Roman"/>
                <w:sz w:val="18"/>
              </w:rPr>
            </w:pPr>
          </w:p>
        </w:tc>
        <w:tc>
          <w:tcPr>
            <w:tcW w:w="3260" w:type="dxa"/>
          </w:tcPr>
          <w:p>
            <w:pPr>
              <w:pStyle w:val="TableParagraph"/>
              <w:spacing w:before="0"/>
              <w:ind w:left="0"/>
              <w:rPr>
                <w:rFonts w:ascii="Times New Roman"/>
                <w:sz w:val="18"/>
              </w:rPr>
            </w:pPr>
          </w:p>
        </w:tc>
        <w:tc>
          <w:tcPr>
            <w:tcW w:w="9240" w:type="dxa"/>
            <w:tcBorders>
              <w:right w:val="nil"/>
            </w:tcBorders>
          </w:tcPr>
          <w:p>
            <w:pPr>
              <w:pStyle w:val="TableParagraph"/>
              <w:rPr>
                <w:sz w:val="19"/>
              </w:rPr>
            </w:pPr>
            <w:r>
              <w:rPr>
                <w:color w:val="202020"/>
                <w:sz w:val="19"/>
              </w:rPr>
              <w:t>Top loading:</w:t>
            </w:r>
          </w:p>
        </w:tc>
      </w:tr>
      <w:tr>
        <w:trPr>
          <w:trHeight w:val="404" w:hRule="atLeast"/>
        </w:trPr>
        <w:tc>
          <w:tcPr>
            <w:tcW w:w="3084" w:type="dxa"/>
            <w:tcBorders>
              <w:left w:val="single" w:sz="6" w:space="0" w:color="808080"/>
            </w:tcBorders>
          </w:tcPr>
          <w:p>
            <w:pPr>
              <w:pStyle w:val="TableParagraph"/>
              <w:spacing w:before="0"/>
              <w:ind w:left="0"/>
              <w:rPr>
                <w:rFonts w:ascii="Times New Roman"/>
                <w:sz w:val="18"/>
              </w:rPr>
            </w:pPr>
          </w:p>
        </w:tc>
        <w:tc>
          <w:tcPr>
            <w:tcW w:w="3260" w:type="dxa"/>
          </w:tcPr>
          <w:p>
            <w:pPr>
              <w:pStyle w:val="TableParagraph"/>
              <w:rPr>
                <w:sz w:val="19"/>
              </w:rPr>
            </w:pPr>
            <w:r>
              <w:rPr>
                <w:color w:val="202020"/>
                <w:sz w:val="19"/>
              </w:rPr>
              <w:t>01 No</w:t>
            </w:r>
          </w:p>
        </w:tc>
        <w:tc>
          <w:tcPr>
            <w:tcW w:w="9240" w:type="dxa"/>
            <w:tcBorders>
              <w:right w:val="nil"/>
            </w:tcBorders>
          </w:tcPr>
          <w:p>
            <w:pPr>
              <w:pStyle w:val="TableParagraph"/>
              <w:rPr>
                <w:sz w:val="19"/>
              </w:rPr>
            </w:pPr>
            <w:r>
              <w:rPr>
                <w:color w:val="202020"/>
                <w:sz w:val="19"/>
              </w:rPr>
              <w:t>Up to 3.5kg dry weight capacity</w:t>
            </w:r>
          </w:p>
        </w:tc>
      </w:tr>
      <w:tr>
        <w:trPr>
          <w:trHeight w:val="404" w:hRule="atLeast"/>
        </w:trPr>
        <w:tc>
          <w:tcPr>
            <w:tcW w:w="3084" w:type="dxa"/>
            <w:tcBorders>
              <w:left w:val="single" w:sz="6" w:space="0" w:color="808080"/>
            </w:tcBorders>
          </w:tcPr>
          <w:p>
            <w:pPr>
              <w:pStyle w:val="TableParagraph"/>
              <w:spacing w:before="0"/>
              <w:ind w:left="0"/>
              <w:rPr>
                <w:rFonts w:ascii="Times New Roman"/>
                <w:sz w:val="18"/>
              </w:rPr>
            </w:pPr>
          </w:p>
        </w:tc>
        <w:tc>
          <w:tcPr>
            <w:tcW w:w="3260" w:type="dxa"/>
          </w:tcPr>
          <w:p>
            <w:pPr>
              <w:pStyle w:val="TableParagraph"/>
              <w:rPr>
                <w:sz w:val="19"/>
              </w:rPr>
            </w:pPr>
            <w:r>
              <w:rPr>
                <w:color w:val="202020"/>
                <w:sz w:val="19"/>
              </w:rPr>
              <w:t>02 No</w:t>
            </w:r>
          </w:p>
        </w:tc>
        <w:tc>
          <w:tcPr>
            <w:tcW w:w="9240" w:type="dxa"/>
            <w:tcBorders>
              <w:right w:val="nil"/>
            </w:tcBorders>
          </w:tcPr>
          <w:p>
            <w:pPr>
              <w:pStyle w:val="TableParagraph"/>
              <w:rPr>
                <w:sz w:val="19"/>
              </w:rPr>
            </w:pPr>
            <w:r>
              <w:rPr>
                <w:color w:val="202020"/>
                <w:sz w:val="19"/>
              </w:rPr>
              <w:t>Exceeding 3.5 kg but not exceeding 4.5 kg dry weight capacity</w:t>
            </w:r>
          </w:p>
        </w:tc>
      </w:tr>
      <w:tr>
        <w:trPr>
          <w:trHeight w:val="404" w:hRule="atLeast"/>
        </w:trPr>
        <w:tc>
          <w:tcPr>
            <w:tcW w:w="3084" w:type="dxa"/>
            <w:tcBorders>
              <w:left w:val="single" w:sz="6" w:space="0" w:color="808080"/>
            </w:tcBorders>
          </w:tcPr>
          <w:p>
            <w:pPr>
              <w:pStyle w:val="TableParagraph"/>
              <w:spacing w:before="0"/>
              <w:ind w:left="0"/>
              <w:rPr>
                <w:rFonts w:ascii="Times New Roman"/>
                <w:sz w:val="18"/>
              </w:rPr>
            </w:pPr>
          </w:p>
        </w:tc>
        <w:tc>
          <w:tcPr>
            <w:tcW w:w="3260" w:type="dxa"/>
          </w:tcPr>
          <w:p>
            <w:pPr>
              <w:pStyle w:val="TableParagraph"/>
              <w:rPr>
                <w:sz w:val="19"/>
              </w:rPr>
            </w:pPr>
            <w:r>
              <w:rPr>
                <w:color w:val="202020"/>
                <w:sz w:val="19"/>
              </w:rPr>
              <w:t>03 No</w:t>
            </w:r>
          </w:p>
        </w:tc>
        <w:tc>
          <w:tcPr>
            <w:tcW w:w="9240" w:type="dxa"/>
            <w:tcBorders>
              <w:right w:val="nil"/>
            </w:tcBorders>
          </w:tcPr>
          <w:p>
            <w:pPr>
              <w:pStyle w:val="TableParagraph"/>
              <w:rPr>
                <w:sz w:val="19"/>
              </w:rPr>
            </w:pPr>
            <w:r>
              <w:rPr>
                <w:color w:val="202020"/>
                <w:sz w:val="19"/>
              </w:rPr>
              <w:t>Exceeding 4.5 kg dry weight capacity</w:t>
            </w:r>
          </w:p>
        </w:tc>
      </w:tr>
      <w:tr>
        <w:trPr>
          <w:trHeight w:val="404" w:hRule="atLeast"/>
        </w:trPr>
        <w:tc>
          <w:tcPr>
            <w:tcW w:w="3084" w:type="dxa"/>
            <w:tcBorders>
              <w:left w:val="single" w:sz="6" w:space="0" w:color="808080"/>
            </w:tcBorders>
          </w:tcPr>
          <w:p>
            <w:pPr>
              <w:pStyle w:val="TableParagraph"/>
              <w:spacing w:before="0"/>
              <w:ind w:left="0"/>
              <w:rPr>
                <w:rFonts w:ascii="Times New Roman"/>
                <w:sz w:val="18"/>
              </w:rPr>
            </w:pPr>
          </w:p>
        </w:tc>
        <w:tc>
          <w:tcPr>
            <w:tcW w:w="3260" w:type="dxa"/>
          </w:tcPr>
          <w:p>
            <w:pPr>
              <w:pStyle w:val="TableParagraph"/>
              <w:rPr>
                <w:sz w:val="19"/>
              </w:rPr>
            </w:pPr>
            <w:r>
              <w:rPr>
                <w:color w:val="202020"/>
                <w:sz w:val="19"/>
              </w:rPr>
              <w:t>04 No</w:t>
            </w:r>
          </w:p>
        </w:tc>
        <w:tc>
          <w:tcPr>
            <w:tcW w:w="9240" w:type="dxa"/>
            <w:tcBorders>
              <w:right w:val="nil"/>
            </w:tcBorders>
          </w:tcPr>
          <w:p>
            <w:pPr>
              <w:pStyle w:val="TableParagraph"/>
              <w:rPr>
                <w:sz w:val="19"/>
              </w:rPr>
            </w:pPr>
            <w:r>
              <w:rPr>
                <w:color w:val="202020"/>
                <w:sz w:val="19"/>
              </w:rPr>
              <w:t>Front loading</w:t>
            </w:r>
          </w:p>
        </w:tc>
      </w:tr>
    </w:tbl>
    <w:p>
      <w:pPr>
        <w:pStyle w:val="BodyText"/>
        <w:spacing w:before="3"/>
        <w:ind w:left="0"/>
        <w:rPr>
          <w:sz w:val="16"/>
        </w:rPr>
      </w:pPr>
    </w:p>
    <w:p>
      <w:pPr>
        <w:pStyle w:val="BodyText"/>
      </w:pPr>
      <w:r>
        <w:rPr/>
        <w:t>As a result of the review, the new structure for washing machines is:</w:t>
      </w:r>
    </w:p>
    <w:p>
      <w:pPr>
        <w:pStyle w:val="BodyText"/>
        <w:spacing w:before="5"/>
        <w:ind w:left="0"/>
        <w:rPr>
          <w:sz w:val="16"/>
        </w:rPr>
      </w:pPr>
    </w:p>
    <w:tbl>
      <w:tblPr>
        <w:tblW w:w="0" w:type="auto"/>
        <w:jc w:val="left"/>
        <w:tblInd w:w="123"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4640"/>
        <w:gridCol w:w="4924"/>
        <w:gridCol w:w="6020"/>
      </w:tblGrid>
      <w:tr>
        <w:trPr>
          <w:trHeight w:val="404" w:hRule="atLeast"/>
        </w:trPr>
        <w:tc>
          <w:tcPr>
            <w:tcW w:w="4640" w:type="dxa"/>
            <w:tcBorders>
              <w:left w:val="single" w:sz="6" w:space="0" w:color="808080"/>
            </w:tcBorders>
          </w:tcPr>
          <w:p>
            <w:pPr>
              <w:pStyle w:val="TableParagraph"/>
              <w:ind w:left="100"/>
              <w:rPr>
                <w:sz w:val="19"/>
              </w:rPr>
            </w:pPr>
            <w:r>
              <w:rPr>
                <w:color w:val="202020"/>
                <w:sz w:val="19"/>
              </w:rPr>
              <w:t>Reference Number</w:t>
            </w:r>
          </w:p>
        </w:tc>
        <w:tc>
          <w:tcPr>
            <w:tcW w:w="4924" w:type="dxa"/>
          </w:tcPr>
          <w:p>
            <w:pPr>
              <w:pStyle w:val="TableParagraph"/>
              <w:ind w:left="100"/>
              <w:rPr>
                <w:sz w:val="19"/>
              </w:rPr>
            </w:pPr>
            <w:r>
              <w:rPr>
                <w:color w:val="202020"/>
                <w:sz w:val="19"/>
              </w:rPr>
              <w:t>Statistical Code/Unit</w:t>
            </w:r>
          </w:p>
        </w:tc>
        <w:tc>
          <w:tcPr>
            <w:tcW w:w="6020" w:type="dxa"/>
            <w:tcBorders>
              <w:right w:val="nil"/>
            </w:tcBorders>
          </w:tcPr>
          <w:p>
            <w:pPr>
              <w:pStyle w:val="TableParagraph"/>
              <w:rPr>
                <w:sz w:val="19"/>
              </w:rPr>
            </w:pPr>
            <w:r>
              <w:rPr>
                <w:color w:val="202020"/>
                <w:sz w:val="19"/>
              </w:rPr>
              <w:t>Goods</w:t>
            </w:r>
          </w:p>
        </w:tc>
      </w:tr>
      <w:tr>
        <w:trPr>
          <w:trHeight w:val="404" w:hRule="atLeast"/>
        </w:trPr>
        <w:tc>
          <w:tcPr>
            <w:tcW w:w="4640" w:type="dxa"/>
            <w:tcBorders>
              <w:left w:val="single" w:sz="6" w:space="0" w:color="808080"/>
            </w:tcBorders>
          </w:tcPr>
          <w:p>
            <w:pPr>
              <w:pStyle w:val="TableParagraph"/>
              <w:ind w:left="100"/>
              <w:rPr>
                <w:sz w:val="19"/>
              </w:rPr>
            </w:pPr>
            <w:r>
              <w:rPr>
                <w:color w:val="202020"/>
                <w:sz w:val="19"/>
              </w:rPr>
              <w:t>8450.11.00</w:t>
            </w:r>
          </w:p>
        </w:tc>
        <w:tc>
          <w:tcPr>
            <w:tcW w:w="4924" w:type="dxa"/>
          </w:tcPr>
          <w:p>
            <w:pPr>
              <w:pStyle w:val="TableParagraph"/>
              <w:spacing w:before="0"/>
              <w:ind w:left="0"/>
              <w:rPr>
                <w:rFonts w:ascii="Times New Roman"/>
                <w:sz w:val="18"/>
              </w:rPr>
            </w:pPr>
          </w:p>
        </w:tc>
        <w:tc>
          <w:tcPr>
            <w:tcW w:w="6020" w:type="dxa"/>
            <w:tcBorders>
              <w:right w:val="nil"/>
            </w:tcBorders>
          </w:tcPr>
          <w:p>
            <w:pPr>
              <w:pStyle w:val="TableParagraph"/>
              <w:rPr>
                <w:sz w:val="19"/>
              </w:rPr>
            </w:pPr>
            <w:r>
              <w:rPr>
                <w:color w:val="202020"/>
                <w:sz w:val="19"/>
              </w:rPr>
              <w:t>Fully-automatic machines</w:t>
            </w:r>
          </w:p>
        </w:tc>
      </w:tr>
      <w:tr>
        <w:trPr>
          <w:trHeight w:val="404" w:hRule="atLeast"/>
        </w:trPr>
        <w:tc>
          <w:tcPr>
            <w:tcW w:w="4640" w:type="dxa"/>
            <w:tcBorders>
              <w:left w:val="single" w:sz="6" w:space="0" w:color="808080"/>
            </w:tcBorders>
          </w:tcPr>
          <w:p>
            <w:pPr>
              <w:pStyle w:val="TableParagraph"/>
              <w:spacing w:before="0"/>
              <w:ind w:left="0"/>
              <w:rPr>
                <w:rFonts w:ascii="Times New Roman"/>
                <w:sz w:val="18"/>
              </w:rPr>
            </w:pPr>
          </w:p>
        </w:tc>
        <w:tc>
          <w:tcPr>
            <w:tcW w:w="4924" w:type="dxa"/>
          </w:tcPr>
          <w:p>
            <w:pPr>
              <w:pStyle w:val="TableParagraph"/>
              <w:ind w:left="100"/>
              <w:rPr>
                <w:sz w:val="19"/>
              </w:rPr>
            </w:pPr>
            <w:r>
              <w:rPr>
                <w:color w:val="202020"/>
                <w:sz w:val="19"/>
              </w:rPr>
              <w:t>40 No</w:t>
            </w:r>
          </w:p>
        </w:tc>
        <w:tc>
          <w:tcPr>
            <w:tcW w:w="6020" w:type="dxa"/>
            <w:tcBorders>
              <w:right w:val="nil"/>
            </w:tcBorders>
          </w:tcPr>
          <w:p>
            <w:pPr>
              <w:pStyle w:val="TableParagraph"/>
              <w:rPr>
                <w:sz w:val="19"/>
              </w:rPr>
            </w:pPr>
            <w:r>
              <w:rPr>
                <w:color w:val="202020"/>
                <w:sz w:val="19"/>
              </w:rPr>
              <w:t>Top loading</w:t>
            </w:r>
          </w:p>
        </w:tc>
      </w:tr>
      <w:tr>
        <w:trPr>
          <w:trHeight w:val="404" w:hRule="atLeast"/>
        </w:trPr>
        <w:tc>
          <w:tcPr>
            <w:tcW w:w="4640" w:type="dxa"/>
            <w:tcBorders>
              <w:left w:val="single" w:sz="6" w:space="0" w:color="808080"/>
            </w:tcBorders>
          </w:tcPr>
          <w:p>
            <w:pPr>
              <w:pStyle w:val="TableParagraph"/>
              <w:spacing w:before="0"/>
              <w:ind w:left="0"/>
              <w:rPr>
                <w:rFonts w:ascii="Times New Roman"/>
                <w:sz w:val="18"/>
              </w:rPr>
            </w:pPr>
          </w:p>
        </w:tc>
        <w:tc>
          <w:tcPr>
            <w:tcW w:w="4924" w:type="dxa"/>
          </w:tcPr>
          <w:p>
            <w:pPr>
              <w:pStyle w:val="TableParagraph"/>
              <w:ind w:left="100"/>
              <w:rPr>
                <w:sz w:val="19"/>
              </w:rPr>
            </w:pPr>
            <w:r>
              <w:rPr>
                <w:color w:val="202020"/>
                <w:sz w:val="19"/>
              </w:rPr>
              <w:t>04 No</w:t>
            </w:r>
          </w:p>
        </w:tc>
        <w:tc>
          <w:tcPr>
            <w:tcW w:w="6020" w:type="dxa"/>
            <w:tcBorders>
              <w:right w:val="nil"/>
            </w:tcBorders>
          </w:tcPr>
          <w:p>
            <w:pPr>
              <w:pStyle w:val="TableParagraph"/>
              <w:rPr>
                <w:sz w:val="19"/>
              </w:rPr>
            </w:pPr>
            <w:r>
              <w:rPr>
                <w:color w:val="202020"/>
                <w:sz w:val="19"/>
              </w:rPr>
              <w:t>Front loading</w:t>
            </w:r>
          </w:p>
        </w:tc>
      </w:tr>
    </w:tbl>
    <w:p>
      <w:pPr>
        <w:pStyle w:val="BodyText"/>
        <w:spacing w:before="4"/>
        <w:ind w:left="0"/>
        <w:rPr>
          <w:sz w:val="16"/>
        </w:rPr>
      </w:pPr>
    </w:p>
    <w:p>
      <w:pPr>
        <w:pStyle w:val="BodyText"/>
        <w:spacing w:line="237" w:lineRule="auto" w:before="1"/>
        <w:ind w:right="293"/>
      </w:pPr>
      <w:r>
        <w:rPr/>
        <w:t>It is anticipated that the tariff reprint pages containing the new statistical codes will be despatched to users in the week commencing 14 June 1999. The attachment to this ACN lists the HTISCs which will be replaced from 1 July 1999. Users should check the attachment to determine if the goods they import, or for which they prepare Customs documentation, are affected by the changes. If so, users should refer to the new tariff reprint pages to determine the new HTISC. The replaced HTISCs will not be valid for entry processing after 30 June 1999.</w:t>
      </w:r>
    </w:p>
    <w:p>
      <w:pPr>
        <w:pStyle w:val="BodyText"/>
        <w:spacing w:before="5"/>
        <w:ind w:left="0"/>
        <w:rPr>
          <w:sz w:val="16"/>
        </w:rPr>
      </w:pPr>
    </w:p>
    <w:p>
      <w:pPr>
        <w:pStyle w:val="BodyText"/>
        <w:spacing w:line="237" w:lineRule="auto" w:before="1"/>
        <w:ind w:right="206"/>
      </w:pPr>
      <w:r>
        <w:rPr/>
        <w:t>If you have any queries about the review, please contact Michelle Williams at the Australian Bureau of Statistics on 02 6252</w:t>
      </w:r>
      <w:r>
        <w:rPr>
          <w:spacing w:val="-3"/>
        </w:rPr>
        <w:t> 5411, </w:t>
      </w:r>
      <w:r>
        <w:rPr/>
        <w:t>or e-mail </w:t>
      </w:r>
      <w:hyperlink r:id="rId5">
        <w:r>
          <w:rPr>
            <w:color w:val="0F64C7"/>
          </w:rPr>
          <w:t>michelle.williams@abs.gov.au</w:t>
        </w:r>
      </w:hyperlink>
      <w:r>
        <w:rPr/>
        <w:t>. Questions on tariff classification should be referred to your nearest Customs office.</w:t>
      </w:r>
    </w:p>
    <w:p>
      <w:pPr>
        <w:spacing w:after="0" w:line="237" w:lineRule="auto"/>
        <w:sectPr>
          <w:type w:val="continuous"/>
          <w:pgSz w:w="16840" w:h="11900" w:orient="landscape"/>
          <w:pgMar w:top="680" w:bottom="280" w:left="580" w:right="440"/>
        </w:sectPr>
      </w:pPr>
    </w:p>
    <w:p>
      <w:pPr>
        <w:pStyle w:val="BodyText"/>
        <w:spacing w:line="446" w:lineRule="auto" w:before="77"/>
        <w:ind w:right="9408"/>
      </w:pPr>
      <w:r>
        <w:rPr/>
        <w:t>Debbie Bates National Manager Tariff for Chief Executive Officer Canberra 9 June 1999</w:t>
      </w:r>
    </w:p>
    <w:p>
      <w:pPr>
        <w:pStyle w:val="BodyText"/>
        <w:spacing w:line="217" w:lineRule="exact"/>
      </w:pPr>
      <w:r>
        <w:rPr/>
        <w:t>(Tariff Legislation - C98/09282)</w:t>
      </w:r>
    </w:p>
    <w:sectPr>
      <w:pgSz w:w="16840" w:h="11900" w:orient="landscape"/>
      <w:pgMar w:top="50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8"/>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91"/>
      <w:ind w:left="101"/>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ichelle.williams@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2020-12-09T23:03:26Z</dcterms:created>
  <dcterms:modified xsi:type="dcterms:W3CDTF">2020-12-09T23:03:26Z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