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49</w:t>
      </w:r>
    </w:p>
    <w:p>
      <w:pPr>
        <w:spacing w:line="312" w:lineRule="auto" w:before="390"/>
        <w:ind w:left="100" w:right="65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6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licence.</w:t>
      </w:r>
    </w:p>
    <w:p>
      <w:pPr>
        <w:spacing w:before="192"/>
        <w:ind w:left="609" w:right="10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20"/>
          <w:sz w:val="25"/>
        </w:rPr>
        <w:t>Australian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Cargo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Logistics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Pty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Limited</w:t>
      </w:r>
      <w:r>
        <w:rPr>
          <w:rFonts w:ascii="Georgia"/>
          <w:color w:val="585858"/>
          <w:spacing w:val="-15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2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/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154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O'Riordan</w:t>
      </w:r>
      <w:r>
        <w:rPr>
          <w:rFonts w:ascii="Georgia"/>
          <w:color w:val="585858"/>
          <w:spacing w:val="-15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Street</w:t>
      </w:r>
      <w:r>
        <w:rPr>
          <w:rFonts w:ascii="Georgia"/>
          <w:color w:val="585858"/>
          <w:spacing w:val="-16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MASCOT NSW</w:t>
      </w:r>
      <w:r>
        <w:rPr>
          <w:rFonts w:ascii="Georgia"/>
          <w:color w:val="585858"/>
          <w:spacing w:val="-10"/>
          <w:w w:val="120"/>
          <w:sz w:val="25"/>
        </w:rPr>
        <w:t> </w:t>
      </w:r>
      <w:r>
        <w:rPr>
          <w:rFonts w:ascii="Georgia"/>
          <w:color w:val="585858"/>
          <w:w w:val="120"/>
          <w:sz w:val="25"/>
        </w:rPr>
        <w:t>2020</w:t>
      </w:r>
    </w:p>
    <w:p>
      <w:pPr>
        <w:pStyle w:val="BodyText"/>
        <w:spacing w:before="6"/>
        <w:rPr>
          <w:rFonts w:ascii="Georgia"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512403pt;width:3pt;height:5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Person in Authority</w:t>
      </w:r>
    </w:p>
    <w:p>
      <w:pPr>
        <w:pStyle w:val="Heading1"/>
        <w:spacing w:line="232" w:lineRule="auto" w:before="248"/>
      </w:pPr>
      <w:r>
        <w:rPr>
          <w:color w:val="585858"/>
        </w:rPr>
        <w:t>Peter John Elliott, NSW Iain Robert Duff, NSW Stephen Charles Anderson, NSW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"/>
        <w:rPr>
          <w:rFonts w:ascii="Georgia"/>
          <w:i/>
          <w:sz w:val="17"/>
        </w:rPr>
      </w:pPr>
    </w:p>
    <w:p>
      <w:pPr>
        <w:spacing w:before="102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9.562403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  <w:u w:val="single" w:color="585858"/>
        </w:rPr>
        <w:t>Nominee</w:t>
      </w:r>
    </w:p>
    <w:p>
      <w:pPr>
        <w:pStyle w:val="Heading1"/>
        <w:spacing w:before="240"/>
      </w:pPr>
      <w:r>
        <w:rPr>
          <w:color w:val="585858"/>
        </w:rPr>
        <w:t>I R Duff, licence no. 1949 G R Bell, licence no. 4286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751"/>
      </w:pPr>
      <w:r>
        <w:rPr/>
        <w:pict>
          <v:rect style="position:absolute;margin-left:47.75pt;margin-top:34.598877pt;width:3pt;height:91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56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/>
      </w:pPr>
      <w:r>
        <w:rPr>
          <w:color w:val="585858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31 August 1999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P.G. Burns National Manager Import/Export Management for Chief Executive Officer 27 July, 1999</w:t>
      </w:r>
    </w:p>
    <w:sectPr>
      <w:type w:val="continuous"/>
      <w:pgSz w:w="11900" w:h="16840"/>
      <w:pgMar w:top="700" w:bottom="280" w:left="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84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2020-12-09T22:45:07Z</dcterms:created>
  <dcterms:modified xsi:type="dcterms:W3CDTF">2020-12-09T22:45:07Z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