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67</w:t>
      </w:r>
    </w:p>
    <w:p>
      <w:pPr>
        <w:spacing w:line="316" w:lineRule="auto" w:before="357"/>
        <w:ind w:left="108" w:right="0" w:firstLine="0"/>
        <w:jc w:val="left"/>
        <w:rPr>
          <w:b/>
          <w:sz w:val="32"/>
        </w:rPr>
      </w:pPr>
      <w:r>
        <w:rPr>
          <w:b/>
          <w:color w:val="202020"/>
          <w:sz w:val="32"/>
        </w:rPr>
        <w:t>CUSTOMS </w:t>
      </w:r>
      <w:r>
        <w:rPr>
          <w:b/>
          <w:color w:val="202020"/>
          <w:spacing w:val="-5"/>
          <w:sz w:val="32"/>
        </w:rPr>
        <w:t>TARIFF </w:t>
      </w:r>
      <w:r>
        <w:rPr>
          <w:b/>
          <w:color w:val="202020"/>
          <w:sz w:val="32"/>
        </w:rPr>
        <w:t>PROPOSAL NO. 6 (1999) AND EXCISE </w:t>
      </w:r>
      <w:r>
        <w:rPr>
          <w:b/>
          <w:color w:val="202020"/>
          <w:spacing w:val="-5"/>
          <w:sz w:val="32"/>
        </w:rPr>
        <w:t>TARIFF </w:t>
      </w:r>
      <w:r>
        <w:rPr>
          <w:b/>
          <w:color w:val="202020"/>
          <w:sz w:val="32"/>
        </w:rPr>
        <w:t>PROPOSAL NO. 2 (1999) INTRODUCTION OF A PER-STICK </w:t>
      </w:r>
      <w:r>
        <w:rPr>
          <w:b/>
          <w:color w:val="202020"/>
          <w:spacing w:val="-7"/>
          <w:sz w:val="32"/>
        </w:rPr>
        <w:t>RATE </w:t>
      </w:r>
      <w:r>
        <w:rPr>
          <w:b/>
          <w:color w:val="202020"/>
          <w:sz w:val="32"/>
        </w:rPr>
        <w:t>OF DUTY ON TOBACCO</w:t>
      </w:r>
      <w:r>
        <w:rPr>
          <w:b/>
          <w:color w:val="202020"/>
          <w:spacing w:val="60"/>
          <w:sz w:val="32"/>
        </w:rPr>
        <w:t> </w:t>
      </w:r>
      <w:r>
        <w:rPr>
          <w:b/>
          <w:color w:val="202020"/>
          <w:sz w:val="32"/>
        </w:rPr>
        <w:t>PRODUCTS</w:t>
      </w:r>
    </w:p>
    <w:p>
      <w:pPr>
        <w:pStyle w:val="BodyText"/>
        <w:spacing w:line="237" w:lineRule="auto" w:before="140"/>
        <w:ind w:left="108" w:right="145"/>
      </w:pPr>
      <w:r>
        <w:rPr/>
        <w:t>From 1 November 1999 duty on most locally manufactured and imported cigarettes, light weight cigars and any other light weight tobacco products marketed in stick form, will be levied at a per-stick rate. Specifically, any cigarette, cigar, bidi or other stick based tobacco product with an actual tobacco content of not more than 0.8 grams per stick, will be subject to a duty rate of $0.18872 per stick. All other cigarettes, cigars, bidis and stick based products and other tobacco products will be subject to a rate of $235.90 per kilogram of tobacco content. The rate of duty for snuff remains at $1.92 per kilogram. In line with other measures to address illicit production, imported tobacco currently falling to sub-headings 2401.20.00, 2401.30.00 and 2403.91.00 will also be subject to the per kilogram tobacco content rate. A new item, 67 in Part III of Schedule 4 to the Customs Tariff, will be created to enable licensed tobacco manufacturers duty free access to this tobacco when it is used to manufacture excisable tobacco products. The existing Additional Note to Chapter 24 has been repealed. It will be replaced by a new Additional Note which directs that bidis be classified in subheading 2402.20. Customs tariff reprint pages to be issued in conjunction with these changes are: Tariff Act 15 (R.3), Schedule 3 24/1 (R.1), 24/3 (R.9) and 24/5 (R.5) and Schedule 4/31 (R.2). A concordance of customs tariff subheadings for these changes is attached. Excise tariff reprint page E77 (R.6) will be issued by the Australian Taxation Office. Contact officers for these changes are:</w:t>
      </w:r>
    </w:p>
    <w:p>
      <w:pPr>
        <w:pStyle w:val="BodyText"/>
        <w:spacing w:before="7"/>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623"/>
        <w:gridCol w:w="7968"/>
      </w:tblGrid>
      <w:tr>
        <w:trPr>
          <w:trHeight w:val="404" w:hRule="atLeast"/>
        </w:trPr>
        <w:tc>
          <w:tcPr>
            <w:tcW w:w="7623" w:type="dxa"/>
            <w:tcBorders>
              <w:left w:val="nil"/>
            </w:tcBorders>
          </w:tcPr>
          <w:p>
            <w:pPr>
              <w:pStyle w:val="TableParagraph"/>
              <w:ind w:left="101"/>
              <w:rPr>
                <w:sz w:val="19"/>
              </w:rPr>
            </w:pPr>
            <w:r>
              <w:rPr>
                <w:color w:val="202020"/>
                <w:sz w:val="19"/>
              </w:rPr>
              <w:t>Excise:</w:t>
            </w:r>
          </w:p>
        </w:tc>
        <w:tc>
          <w:tcPr>
            <w:tcW w:w="7968" w:type="dxa"/>
            <w:tcBorders>
              <w:right w:val="nil"/>
            </w:tcBorders>
          </w:tcPr>
          <w:p>
            <w:pPr>
              <w:pStyle w:val="TableParagraph"/>
              <w:rPr>
                <w:sz w:val="19"/>
              </w:rPr>
            </w:pPr>
            <w:r>
              <w:rPr>
                <w:color w:val="202020"/>
                <w:sz w:val="19"/>
              </w:rPr>
              <w:t>Customs</w:t>
            </w:r>
          </w:p>
        </w:tc>
      </w:tr>
      <w:tr>
        <w:trPr>
          <w:trHeight w:val="404" w:hRule="atLeast"/>
        </w:trPr>
        <w:tc>
          <w:tcPr>
            <w:tcW w:w="7623" w:type="dxa"/>
            <w:tcBorders>
              <w:left w:val="nil"/>
            </w:tcBorders>
          </w:tcPr>
          <w:p>
            <w:pPr>
              <w:pStyle w:val="TableParagraph"/>
              <w:ind w:left="101"/>
              <w:rPr>
                <w:sz w:val="19"/>
              </w:rPr>
            </w:pPr>
            <w:r>
              <w:rPr>
                <w:color w:val="202020"/>
                <w:sz w:val="19"/>
              </w:rPr>
              <w:t>Greg Little</w:t>
            </w:r>
          </w:p>
        </w:tc>
        <w:tc>
          <w:tcPr>
            <w:tcW w:w="7968" w:type="dxa"/>
            <w:tcBorders>
              <w:right w:val="nil"/>
            </w:tcBorders>
          </w:tcPr>
          <w:p>
            <w:pPr>
              <w:pStyle w:val="TableParagraph"/>
              <w:rPr>
                <w:sz w:val="19"/>
              </w:rPr>
            </w:pPr>
            <w:r>
              <w:rPr>
                <w:color w:val="202020"/>
                <w:sz w:val="19"/>
              </w:rPr>
              <w:t>Robin Anderson,</w:t>
            </w:r>
          </w:p>
        </w:tc>
      </w:tr>
      <w:tr>
        <w:trPr>
          <w:trHeight w:val="404" w:hRule="atLeast"/>
        </w:trPr>
        <w:tc>
          <w:tcPr>
            <w:tcW w:w="7623" w:type="dxa"/>
            <w:tcBorders>
              <w:left w:val="nil"/>
            </w:tcBorders>
          </w:tcPr>
          <w:p>
            <w:pPr>
              <w:pStyle w:val="TableParagraph"/>
              <w:ind w:left="101"/>
              <w:rPr>
                <w:sz w:val="19"/>
              </w:rPr>
            </w:pPr>
            <w:r>
              <w:rPr>
                <w:color w:val="202020"/>
                <w:sz w:val="19"/>
              </w:rPr>
              <w:t>Australian Taxation Office</w:t>
            </w:r>
          </w:p>
        </w:tc>
        <w:tc>
          <w:tcPr>
            <w:tcW w:w="7968" w:type="dxa"/>
            <w:tcBorders>
              <w:right w:val="nil"/>
            </w:tcBorders>
          </w:tcPr>
          <w:p>
            <w:pPr>
              <w:pStyle w:val="TableParagraph"/>
              <w:rPr>
                <w:sz w:val="19"/>
              </w:rPr>
            </w:pPr>
            <w:r>
              <w:rPr>
                <w:color w:val="202020"/>
                <w:sz w:val="19"/>
              </w:rPr>
              <w:t>Customs Business Centre,</w:t>
            </w:r>
          </w:p>
        </w:tc>
      </w:tr>
      <w:tr>
        <w:trPr>
          <w:trHeight w:val="404" w:hRule="atLeast"/>
        </w:trPr>
        <w:tc>
          <w:tcPr>
            <w:tcW w:w="7623" w:type="dxa"/>
            <w:tcBorders>
              <w:left w:val="nil"/>
            </w:tcBorders>
          </w:tcPr>
          <w:p>
            <w:pPr>
              <w:pStyle w:val="TableParagraph"/>
              <w:ind w:left="101"/>
              <w:rPr>
                <w:sz w:val="19"/>
              </w:rPr>
            </w:pPr>
            <w:r>
              <w:rPr>
                <w:color w:val="202020"/>
                <w:sz w:val="19"/>
              </w:rPr>
              <w:t>Canberra</w:t>
            </w:r>
          </w:p>
        </w:tc>
        <w:tc>
          <w:tcPr>
            <w:tcW w:w="7968" w:type="dxa"/>
            <w:tcBorders>
              <w:right w:val="nil"/>
            </w:tcBorders>
          </w:tcPr>
          <w:p>
            <w:pPr>
              <w:pStyle w:val="TableParagraph"/>
              <w:rPr>
                <w:sz w:val="19"/>
              </w:rPr>
            </w:pPr>
            <w:r>
              <w:rPr>
                <w:color w:val="202020"/>
                <w:sz w:val="19"/>
              </w:rPr>
              <w:t>Sydney</w:t>
            </w:r>
          </w:p>
        </w:tc>
      </w:tr>
      <w:tr>
        <w:trPr>
          <w:trHeight w:val="404" w:hRule="atLeast"/>
        </w:trPr>
        <w:tc>
          <w:tcPr>
            <w:tcW w:w="7623" w:type="dxa"/>
            <w:tcBorders>
              <w:left w:val="nil"/>
            </w:tcBorders>
          </w:tcPr>
          <w:p>
            <w:pPr>
              <w:pStyle w:val="TableParagraph"/>
              <w:ind w:left="101"/>
              <w:rPr>
                <w:sz w:val="19"/>
              </w:rPr>
            </w:pPr>
            <w:r>
              <w:rPr>
                <w:color w:val="202020"/>
                <w:sz w:val="19"/>
              </w:rPr>
              <w:t>(02) 6216 5406</w:t>
            </w:r>
          </w:p>
        </w:tc>
        <w:tc>
          <w:tcPr>
            <w:tcW w:w="7968" w:type="dxa"/>
            <w:tcBorders>
              <w:right w:val="nil"/>
            </w:tcBorders>
          </w:tcPr>
          <w:p>
            <w:pPr>
              <w:pStyle w:val="TableParagraph"/>
              <w:rPr>
                <w:sz w:val="19"/>
              </w:rPr>
            </w:pPr>
            <w:r>
              <w:rPr>
                <w:color w:val="202020"/>
                <w:sz w:val="19"/>
              </w:rPr>
              <w:t>(02) 9213 2461</w:t>
            </w:r>
          </w:p>
        </w:tc>
      </w:tr>
    </w:tbl>
    <w:p>
      <w:pPr>
        <w:pStyle w:val="BodyText"/>
        <w:spacing w:before="3"/>
        <w:rPr>
          <w:sz w:val="16"/>
        </w:rPr>
      </w:pPr>
    </w:p>
    <w:p>
      <w:pPr>
        <w:pStyle w:val="BodyText"/>
        <w:ind w:left="108"/>
      </w:pPr>
      <w:r>
        <w:rPr/>
        <w:t>Debbie Bates National Manager Tariff for Chief Executive Officer 20 October 1999</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2020-12-09T22:37:18Z</dcterms:created>
  <dcterms:modified xsi:type="dcterms:W3CDTF">2020-12-09T22:37:18Z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