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77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PROPOSALS NOs. 3 AND 4 (1999)</w:t>
      </w:r>
    </w:p>
    <w:p>
      <w:pPr>
        <w:pStyle w:val="BodyText"/>
        <w:spacing w:before="282"/>
        <w:ind w:left="100"/>
      </w:pPr>
      <w:r>
        <w:rPr/>
        <w:t>On 21 July 1999, Customs Tariff Notice No. 1 was published in Commonwealth </w:t>
      </w:r>
      <w:r>
        <w:rPr>
          <w:i/>
        </w:rPr>
        <w:t>Gazette </w:t>
      </w:r>
      <w:r>
        <w:rPr/>
        <w:t>GN29 notifying the creation of Additional Note 1 in Chapter 57 of Schedule 3 to the </w:t>
      </w:r>
      <w:r>
        <w:rPr>
          <w:i/>
        </w:rPr>
        <w:t>Customs Tariff Act 1995</w:t>
      </w:r>
      <w:r>
        <w:rPr/>
        <w:t>. For the purposes of Chapter 57, the new note defines "floor coverings" as including all mats, rugs, and similar goods.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Customs Tariff Proposal No. 3 (1999) was introduced into the House of Representatives on 25 August 1999 validating this change which came into operation on 22 July 1999.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Tariff reprint page Chapter 57/1 (R.1) was issued in conjunction with this change.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Customs Tariff Proposal No. 4 (1999) was tabled in the House of Representatives on 2 September 1999. It reinstates the 5% customs rate of duty on: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393" w:right="1393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98876pt;width:3pt;height:3pt;mso-position-horizontal-relative:page;mso-position-vertical-relative:paragraph;z-index:15729152" coordorigin="775,348" coordsize="60,60" path="m805,408l792,406,783,400,777,391,775,378,777,365,783,355,792,350,805,348,818,350,828,355,833,365,835,378,833,391,828,400,818,406,805,408xe" filled="true" fillcolor="#000000" stroked="false">
            <v:path arrowok="t"/>
            <v:fill type="solid"/>
            <w10:wrap type="none"/>
          </v:shape>
        </w:pict>
      </w:r>
      <w:r>
        <w:rPr/>
        <w:t>certain drawing, marking-out and mathematical calculating instruments of subheading 9017.20; certain rules of wood or plastic and steel tape measures of subheading 9017.80;</w:t>
      </w:r>
    </w:p>
    <w:p>
      <w:pPr>
        <w:pStyle w:val="BodyText"/>
        <w:spacing w:line="238" w:lineRule="exact"/>
        <w:ind w:left="393"/>
      </w:pPr>
      <w:r>
        <w:rPr/>
        <w:pict>
          <v:shape style="position:absolute;margin-left:38.75pt;margin-top:5.200928pt;width:3pt;height:3pt;mso-position-horizontal-relative:page;mso-position-vertical-relative:paragraph;z-index:15729664" coordorigin="775,104" coordsize="60,60" path="m805,164l792,162,783,157,777,147,775,134,777,121,783,112,792,106,805,104,818,106,828,112,833,121,835,134,833,147,828,157,818,162,805,164xe" filled="true" fillcolor="#000000" stroked="false">
            <v:path arrowok="t"/>
            <v:fill type="solid"/>
            <w10:wrap type="none"/>
          </v:shape>
        </w:pict>
      </w:r>
      <w:r>
        <w:rPr/>
        <w:t>certain gas, electrical and liquid meters of subheadings 9028.10, 9028.20 and 9028.30; and</w:t>
      </w:r>
    </w:p>
    <w:p>
      <w:pPr>
        <w:pStyle w:val="BodyText"/>
        <w:ind w:left="393" w:right="459"/>
      </w:pPr>
      <w:r>
        <w:rPr/>
        <w:pict>
          <v:shape style="position:absolute;margin-left:38.75pt;margin-top:5.348877pt;width:3pt;height:3pt;mso-position-horizontal-relative:page;mso-position-vertical-relative:paragraph;z-index:15730176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certain machines for balancing mechanical parts and electrical test benches of subheadings 9031.10 and 9031.20.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Certain rates of customs duty on goods classified to tariff headings 9013 to 9033 in Schedule 3 to the Customs Tariff were reduced to free on 1 September 1998 following the implementation of the recommendations of the Industry Commission's report on the Medical and Scientific Industries.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Some Australian manufacturers of non-medical and non-scientific goods covered by these reductions informed the Government that this removal of tariff assistance had affected their manufacturing viability and profitability. In light of these representations, the 5% rate of duty was reinstated on the above goods from 3 September 1999.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/>
      </w:pPr>
      <w:r>
        <w:rPr/>
        <w:t>Tariff reprint pages issued in relation to this change are Schedule 3 - 90/13 (R.3), 90/19 (R.3), 90/21 (R.5) and 90/23 (R.7). A concordance of tariff subheadings affected by these changes is attached to this Notice.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446" w:lineRule="auto"/>
        <w:ind w:left="100" w:right="2491"/>
      </w:pPr>
      <w:r>
        <w:rPr/>
        <w:t>Any queries on these changes should be addressed to Ray Banvill on (02) 6275 6516. Debbie Bates National Manager Tariff for Chief Executive Officer 11 November 1999</w:t>
      </w:r>
    </w:p>
    <w:sectPr>
      <w:type w:val="continuous"/>
      <w:pgSz w:w="11900" w:h="16840"/>
      <w:pgMar w:top="70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2020-12-09T22:47:05Z</dcterms:created>
  <dcterms:modified xsi:type="dcterms:W3CDTF">2020-12-09T22:47:05Z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