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78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(NO.2) 1999</w:t>
      </w:r>
    </w:p>
    <w:p>
      <w:pPr>
        <w:pStyle w:val="BodyText"/>
        <w:spacing w:before="282"/>
        <w:ind w:left="100"/>
      </w:pPr>
      <w:r>
        <w:rPr/>
        <w:t>Customs Tariff Amendment Act (No. 2) 1999 received Royal Assent on 13 October 1999 and is numbered Act No. 124 of 1999.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100"/>
      </w:pPr>
      <w:r>
        <w:rPr/>
        <w:t>The legislation enacts changes previously made by the following Customs Tariff Proposals: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20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6 (1998) - reduces to free the rates of duty for certain inputs to the manufacture of information technology equipment - see ACNs 99/38 and 98/87;</w:t>
      </w:r>
    </w:p>
    <w:p>
      <w:pPr>
        <w:pStyle w:val="BodyText"/>
        <w:spacing w:line="237" w:lineRule="auto"/>
        <w:ind w:right="319"/>
      </w:pPr>
      <w:r>
        <w:rPr/>
        <w:pict>
          <v:shape style="position:absolute;margin-left:38.75pt;margin-top:5.250388pt;width:3pt;height:3pt;mso-position-horizontal-relative:page;mso-position-vertical-relative:paragraph;z-index:15729152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No. 7 (1998) - decrease of 2.6 cents per litre in the customs duty on aviation gasoline - see ACNs 98/31 and 98/87;</w:t>
      </w:r>
    </w:p>
    <w:p>
      <w:pPr>
        <w:pStyle w:val="BodyText"/>
        <w:ind w:right="121"/>
      </w:pPr>
      <w:r>
        <w:rPr/>
        <w:pict>
          <v:shape style="position:absolute;margin-left:38.75pt;margin-top:5.348877pt;width:3pt;height:3pt;mso-position-horizontal-relative:page;mso-position-vertical-relative:paragraph;z-index:1572966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8 (1998) - a further decrease of 13.092 cents per litre in the customs duty on aviation gasoline - see ACNs 98/46 and 98/87;</w:t>
      </w:r>
    </w:p>
    <w:p>
      <w:pPr>
        <w:pStyle w:val="BodyText"/>
        <w:spacing w:line="237" w:lineRule="auto"/>
      </w:pPr>
      <w:r>
        <w:rPr/>
        <w:pict>
          <v:shape style="position:absolute;margin-left:38.75pt;margin-top:5.250388pt;width:3pt;height:3pt;mso-position-horizontal-relative:page;mso-position-vertical-relative:paragraph;z-index:15730176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No. 9 (1998) - reduces to free the rates of duty for goods classified between 9011 and 9033 with the exception of goods covered by the Passenger Motor Vehicle Manufacturing Plan - see ACNs 98/66 and 98/87;</w:t>
      </w:r>
    </w:p>
    <w:p>
      <w:pPr>
        <w:pStyle w:val="BodyText"/>
        <w:spacing w:line="241" w:lineRule="exact"/>
      </w:pPr>
      <w:r>
        <w:rPr/>
        <w:pict>
          <v:shape style="position:absolute;margin-left:38.75pt;margin-top:5.343918pt;width:3pt;height:3pt;mso-position-horizontal-relative:page;mso-position-vertical-relative:paragraph;z-index:15730688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10 (1998) - provides a free rate of duty for woven shoulder pads and creates new subheading 8543.89.00</w:t>
      </w:r>
    </w:p>
    <w:p>
      <w:pPr>
        <w:pStyle w:val="BodyText"/>
        <w:spacing w:line="240" w:lineRule="exact"/>
      </w:pPr>
      <w:r>
        <w:rPr/>
        <w:t>- see ACN 98/87; and</w:t>
      </w:r>
    </w:p>
    <w:p>
      <w:pPr>
        <w:pStyle w:val="BodyText"/>
      </w:pPr>
      <w:r>
        <w:rPr/>
        <w:pict>
          <v:shape style="position:absolute;margin-left:38.75pt;margin-top:5.348877pt;width:3pt;height:3pt;mso-position-horizontal-relative:page;mso-position-vertical-relative:paragraph;z-index:1573120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1 (1999) - implements the Industry Commission's recommendations on its inquiry on "Machine Tools and Robots" - see ACN 99/31.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left="100" w:right="180"/>
      </w:pPr>
      <w:r>
        <w:rPr/>
        <w:t>In addition to the above amendments, the Act contains a number of minor technical amendments to the Customs Tariff Act operative 14 days after Royal Assent, that is from 27 October 1999. These amendments include the: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pict>
          <v:shape style="position:absolute;margin-left:38.75pt;margin-top:5.348877pt;width:3pt;height:3pt;mso-position-horizontal-relative:page;mso-position-vertical-relative:paragraph;z-index:1573171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creation of new subheading 6117.90.40 to provide a free rate of duty for knitted shoulder pads when classified as parts for clothing;</w:t>
      </w:r>
    </w:p>
    <w:p>
      <w:pPr>
        <w:pStyle w:val="BodyText"/>
        <w:spacing w:line="237" w:lineRule="auto"/>
        <w:ind w:right="657"/>
      </w:pPr>
      <w:r>
        <w:rPr/>
        <w:pict>
          <v:shape style="position:absolute;margin-left:38.75pt;margin-top:5.250388pt;width:3pt;height:3pt;mso-position-horizontal-relative:page;mso-position-vertical-relative:paragraph;z-index:15732224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repealing of subheading 8419.90.10. The goods previously classified to this item will now be classified in 8419.90.90;</w:t>
      </w:r>
    </w:p>
    <w:p>
      <w:pPr>
        <w:pStyle w:val="BodyText"/>
        <w:ind w:right="597"/>
      </w:pPr>
      <w:r>
        <w:rPr/>
        <w:pict>
          <v:shape style="position:absolute;margin-left:38.75pt;margin-top:5.348877pt;width:3pt;height:3pt;mso-position-horizontal-relative:page;mso-position-vertical-relative:paragraph;z-index:15732736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33248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t>amalgamation of subheadings 9001.90.10, 9001.90.21 and 9001.90.29 into new subheading 9001.90.30; changes to the tax qualifying provisions in item 1B in Part I of Schedule 4 to reflect current income tax legislation;</w:t>
      </w:r>
    </w:p>
    <w:p>
      <w:pPr>
        <w:pStyle w:val="BodyText"/>
        <w:spacing w:line="237" w:lineRule="auto"/>
        <w:ind w:right="711"/>
      </w:pPr>
      <w:r>
        <w:rPr/>
        <w:pict>
          <v:shape style="position:absolute;margin-left:38.75pt;margin-top:5.250388pt;width:3pt;height:3pt;mso-position-horizontal-relative:page;mso-position-vertical-relative:paragraph;z-index:15733760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replacement (in the rate of duty column) of "Part II" with "Part 2" in five items of Schedule 4 to reflect the divisional numbering of the Customs Tariff Act; and</w:t>
      </w:r>
    </w:p>
    <w:p>
      <w:pPr>
        <w:pStyle w:val="BodyText"/>
      </w:pPr>
      <w:r>
        <w:rPr/>
        <w:pict>
          <v:shape style="position:absolute;margin-left:38.75pt;margin-top:5.348877pt;width:3pt;height:3pt;mso-position-horizontal-relative:page;mso-position-vertical-relative:paragraph;z-index:1573427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replacement of the term "Regional Director" with "Collector" in item 24 in Part II of Schedule 4.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  <w:ind w:left="100" w:right="203"/>
      </w:pPr>
      <w:r>
        <w:rPr/>
        <w:t>Tariff reprint pages Schedule 3 - 61/21 (R.2), 84/23 (R.3), 85/31 (R.4), 90/5 (R.1) and Schedule 4/1 (R.3), 4/9 (R.4), 4/11 (R.4), 4/15 (R.1), 4/17 (R.2), 4/27 (R.2) and 4/29 (R.3) have been issued in connection with these changes. A concordance of the affected tariff subheadings not previously made by Customs Tariff Proposals is attached to this Notice.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left="100"/>
      </w:pPr>
      <w:r>
        <w:rPr/>
        <w:t>Any queries on these changes should be directed to Ray Banvill on (02) 6275 6516.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left="100"/>
      </w:pPr>
      <w:r>
        <w:rPr/>
        <w:t>Debbie Bates National Manager Tariff for Chief Executive Officer 11 November 1999 (C99/04103)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2020-12-09T22:55:31Z</dcterms:created>
  <dcterms:modified xsi:type="dcterms:W3CDTF">2020-12-09T22:55:31Z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