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02</w:t>
      </w:r>
    </w:p>
    <w:p>
      <w:pPr>
        <w:spacing w:before="357"/>
        <w:ind w:left="108" w:right="0" w:firstLine="0"/>
        <w:jc w:val="left"/>
        <w:rPr>
          <w:b/>
          <w:sz w:val="32"/>
        </w:rPr>
      </w:pPr>
      <w:r>
        <w:rPr>
          <w:b/>
          <w:color w:val="202020"/>
          <w:sz w:val="32"/>
        </w:rPr>
        <w:t>COPYRIGHT ACT 1968 AMENDMENTS </w:t>
      </w:r>
      <w:r>
        <w:rPr>
          <w:b/>
          <w:color w:val="202020"/>
          <w:spacing w:val="-4"/>
          <w:sz w:val="32"/>
        </w:rPr>
        <w:t>RELATING </w:t>
      </w:r>
      <w:r>
        <w:rPr>
          <w:b/>
          <w:color w:val="202020"/>
          <w:spacing w:val="-3"/>
          <w:sz w:val="32"/>
        </w:rPr>
        <w:t>TO PACKAGING </w:t>
      </w:r>
      <w:r>
        <w:rPr>
          <w:b/>
          <w:color w:val="202020"/>
          <w:sz w:val="32"/>
        </w:rPr>
        <w:t>AND</w:t>
      </w:r>
      <w:r>
        <w:rPr>
          <w:b/>
          <w:color w:val="202020"/>
          <w:spacing w:val="56"/>
          <w:sz w:val="32"/>
        </w:rPr>
        <w:t> </w:t>
      </w:r>
      <w:r>
        <w:rPr>
          <w:b/>
          <w:color w:val="202020"/>
          <w:sz w:val="32"/>
        </w:rPr>
        <w:t>LABELLING</w:t>
      </w:r>
    </w:p>
    <w:p>
      <w:pPr>
        <w:spacing w:before="254"/>
        <w:ind w:left="108" w:right="0" w:firstLine="0"/>
        <w:jc w:val="left"/>
        <w:rPr>
          <w:sz w:val="19"/>
        </w:rPr>
      </w:pPr>
      <w:r>
        <w:rPr>
          <w:i/>
          <w:sz w:val="19"/>
        </w:rPr>
        <w:t>Copyright Amendment Act (No.1) 1998, made a number of amendments to the </w:t>
      </w:r>
      <w:r>
        <w:rPr>
          <w:sz w:val="19"/>
        </w:rPr>
        <w:t>Copyright Act 1968 including provisions relating to packaging and labelling.</w:t>
      </w:r>
    </w:p>
    <w:p>
      <w:pPr>
        <w:pStyle w:val="BodyText"/>
        <w:spacing w:before="5"/>
        <w:rPr>
          <w:sz w:val="16"/>
        </w:rPr>
      </w:pPr>
    </w:p>
    <w:p>
      <w:pPr>
        <w:pStyle w:val="BodyText"/>
        <w:spacing w:line="237" w:lineRule="auto"/>
        <w:ind w:left="108" w:right="495"/>
      </w:pPr>
      <w:r>
        <w:rPr/>
        <w:t>This Australian Customs Notice is to remind copyright owners who have lodged Notices of Objection with Customs of these amendments. Significant amendments, which have effect from </w:t>
      </w:r>
      <w:r>
        <w:rPr>
          <w:i/>
        </w:rPr>
        <w:t>1 February 2000, </w:t>
      </w:r>
      <w:r>
        <w:rPr/>
        <w:t>include:</w:t>
      </w:r>
    </w:p>
    <w:p>
      <w:pPr>
        <w:pStyle w:val="BodyText"/>
        <w:spacing w:before="6"/>
        <w:rPr>
          <w:sz w:val="16"/>
        </w:rPr>
      </w:pPr>
    </w:p>
    <w:p>
      <w:pPr>
        <w:pStyle w:val="BodyText"/>
        <w:spacing w:line="237" w:lineRule="auto"/>
        <w:ind w:left="373" w:right="10958"/>
      </w:pPr>
      <w:r>
        <w:rPr/>
        <w:pict>
          <v:shape style="position:absolute;margin-left:37.793461pt;margin-top:4.763269pt;width:2.75pt;height:2.75pt;mso-position-horizontal-relative:page;mso-position-vertical-relative:paragraph;z-index:15728640" coordorigin="756,95" coordsize="55,55" path="m801,149l765,149,756,140,756,104,765,95,801,95,810,104,810,122,810,140,801,149xe" filled="true" fillcolor="#000000" stroked="false">
            <v:path arrowok="t"/>
            <v:fill type="solid"/>
            <w10:wrap type="none"/>
          </v:shape>
        </w:pict>
      </w:r>
      <w:r>
        <w:rPr/>
        <w:pict>
          <v:shape style="position:absolute;margin-left:37.793461pt;margin-top:15.585989pt;width:2.75pt;height:2.75pt;mso-position-horizontal-relative:page;mso-position-vertical-relative:paragraph;z-index:15729152" coordorigin="756,312" coordsize="55,55" path="m801,366l765,366,756,357,756,321,765,312,801,312,810,321,810,339,810,357,801,366xe" filled="true" fillcolor="#000000" stroked="false">
            <v:path arrowok="t"/>
            <v:fill type="solid"/>
            <w10:wrap type="none"/>
          </v:shape>
        </w:pict>
      </w:r>
      <w:r>
        <w:rPr/>
        <w:t>amending the definition of an 'infringing copy'; defining an 'accessory';</w:t>
      </w:r>
    </w:p>
    <w:p>
      <w:pPr>
        <w:pStyle w:val="BodyText"/>
        <w:spacing w:line="216" w:lineRule="exact"/>
        <w:ind w:left="373"/>
      </w:pPr>
      <w:r>
        <w:rPr/>
        <w:pict>
          <v:shape style="position:absolute;margin-left:37.793461pt;margin-top:4.779045pt;width:2.75pt;height:2.75pt;mso-position-horizontal-relative:page;mso-position-vertical-relative:paragraph;z-index:15729664" coordorigin="756,96" coordsize="55,55" path="m801,150l765,150,756,141,756,105,765,96,801,96,810,105,810,123,810,141,801,150xe" filled="true" fillcolor="#000000" stroked="false">
            <v:path arrowok="t"/>
            <v:fill type="solid"/>
            <w10:wrap type="none"/>
          </v:shape>
        </w:pict>
      </w:r>
      <w:r>
        <w:rPr/>
        <w:t>defining a 'non-infringing accessory';</w:t>
      </w:r>
    </w:p>
    <w:p>
      <w:pPr>
        <w:pStyle w:val="BodyText"/>
        <w:spacing w:line="237" w:lineRule="auto" w:before="1"/>
        <w:ind w:left="373" w:right="4145"/>
      </w:pPr>
      <w:r>
        <w:rPr/>
        <w:pict>
          <v:shape style="position:absolute;margin-left:37.793461pt;margin-top:4.813258pt;width:2.75pt;height:2.75pt;mso-position-horizontal-relative:page;mso-position-vertical-relative:paragraph;z-index:15730176"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8pt;width:2.75pt;height:2.75pt;mso-position-horizontal-relative:page;mso-position-vertical-relative:paragraph;z-index:15730688" coordorigin="756,313" coordsize="55,55" path="m801,367l765,367,756,358,756,322,765,313,801,313,810,322,810,340,810,358,801,367xe" filled="true" fillcolor="#000000" stroked="false">
            <v:path arrowok="t"/>
            <v:fill type="solid"/>
            <w10:wrap type="none"/>
          </v:shape>
        </w:pict>
      </w:r>
      <w:r>
        <w:rPr/>
        <w:t>exempting the Olympic rings symbol (within the meaning of the </w:t>
      </w:r>
      <w:r>
        <w:rPr>
          <w:i/>
        </w:rPr>
        <w:t>Olympic Insignia Protection Act 1987</w:t>
      </w:r>
      <w:r>
        <w:rPr/>
        <w:t>) from the changes; and exempting manuals sold with computer software from the changes.</w:t>
      </w:r>
    </w:p>
    <w:p>
      <w:pPr>
        <w:pStyle w:val="BodyText"/>
        <w:spacing w:before="6"/>
        <w:rPr>
          <w:sz w:val="16"/>
        </w:rPr>
      </w:pPr>
    </w:p>
    <w:p>
      <w:pPr>
        <w:pStyle w:val="BodyText"/>
        <w:spacing w:line="237" w:lineRule="auto"/>
        <w:ind w:left="108" w:right="234"/>
      </w:pPr>
      <w:r>
        <w:rPr/>
        <w:t>The definition of 'accessory' includes labels, packaging and instructions. 'Non-infringing accessory' means accessories made in WTO member countries (current list attached) where the owner of the copyright in that country authorised the making of the accessory.</w:t>
      </w:r>
    </w:p>
    <w:p>
      <w:pPr>
        <w:pStyle w:val="BodyText"/>
        <w:spacing w:before="3"/>
        <w:rPr>
          <w:sz w:val="16"/>
        </w:rPr>
      </w:pPr>
    </w:p>
    <w:p>
      <w:pPr>
        <w:pStyle w:val="BodyText"/>
        <w:spacing w:before="1"/>
        <w:ind w:left="108"/>
      </w:pPr>
      <w:r>
        <w:rPr/>
        <w:t>The copyright in a work a copy of which is on, or embodied in, a non-infringing accessory to an article is not infringed by importing the accessory with the article.</w:t>
      </w:r>
    </w:p>
    <w:p>
      <w:pPr>
        <w:pStyle w:val="BodyText"/>
        <w:spacing w:before="5"/>
        <w:rPr>
          <w:sz w:val="16"/>
        </w:rPr>
      </w:pPr>
    </w:p>
    <w:p>
      <w:pPr>
        <w:pStyle w:val="BodyText"/>
        <w:spacing w:line="237" w:lineRule="auto"/>
        <w:ind w:left="108" w:right="134"/>
      </w:pPr>
      <w:r>
        <w:rPr/>
        <w:t>In essence, the amendments will allow the importation of goods with copyright packaging or labelling without the permission of the copyright owner, if the owner of the copyright had agreed to the use of the copyright material with the goods. The amendments will not, however, affect the operation of the law governing trade marks, insofar as the packaging or labelling includes a trade mark.</w:t>
      </w:r>
    </w:p>
    <w:p>
      <w:pPr>
        <w:pStyle w:val="BodyText"/>
        <w:spacing w:before="4"/>
        <w:rPr>
          <w:sz w:val="16"/>
        </w:rPr>
      </w:pPr>
    </w:p>
    <w:p>
      <w:pPr>
        <w:pStyle w:val="BodyText"/>
        <w:spacing w:line="446" w:lineRule="auto"/>
        <w:ind w:left="108" w:right="3528"/>
      </w:pPr>
      <w:r>
        <w:rPr/>
        <w:t>Copyright owners who are uncertain about the impact of these amendments on their Notices of Objection are advised to seek legal advice. Copies</w:t>
      </w:r>
      <w:r>
        <w:rPr>
          <w:spacing w:val="-3"/>
        </w:rPr>
        <w:t> </w:t>
      </w:r>
      <w:r>
        <w:rPr/>
        <w:t>of</w:t>
      </w:r>
      <w:r>
        <w:rPr>
          <w:spacing w:val="-3"/>
        </w:rPr>
        <w:t> </w:t>
      </w:r>
      <w:r>
        <w:rPr/>
        <w:t>the</w:t>
      </w:r>
      <w:r>
        <w:rPr>
          <w:spacing w:val="-3"/>
        </w:rPr>
        <w:t> </w:t>
      </w:r>
      <w:r>
        <w:rPr>
          <w:i/>
        </w:rPr>
        <w:t>Copyright</w:t>
      </w:r>
      <w:r>
        <w:rPr>
          <w:i/>
          <w:spacing w:val="-3"/>
        </w:rPr>
        <w:t> </w:t>
      </w:r>
      <w:r>
        <w:rPr>
          <w:i/>
        </w:rPr>
        <w:t>Amendment</w:t>
      </w:r>
      <w:r>
        <w:rPr>
          <w:i/>
          <w:spacing w:val="-2"/>
        </w:rPr>
        <w:t> </w:t>
      </w:r>
      <w:r>
        <w:rPr>
          <w:i/>
        </w:rPr>
        <w:t>Act</w:t>
      </w:r>
      <w:r>
        <w:rPr>
          <w:i/>
          <w:spacing w:val="-3"/>
        </w:rPr>
        <w:t> </w:t>
      </w:r>
      <w:r>
        <w:rPr>
          <w:i/>
        </w:rPr>
        <w:t>(No.1)</w:t>
      </w:r>
      <w:r>
        <w:rPr>
          <w:i/>
          <w:spacing w:val="-3"/>
        </w:rPr>
        <w:t> </w:t>
      </w:r>
      <w:r>
        <w:rPr>
          <w:i/>
        </w:rPr>
        <w:t>1998</w:t>
      </w:r>
      <w:r>
        <w:rPr/>
        <w:t>,</w:t>
      </w:r>
      <w:r>
        <w:rPr>
          <w:spacing w:val="-3"/>
        </w:rPr>
        <w:t> </w:t>
      </w:r>
      <w:r>
        <w:rPr/>
        <w:t>and</w:t>
      </w:r>
      <w:r>
        <w:rPr>
          <w:spacing w:val="-3"/>
        </w:rPr>
        <w:t> </w:t>
      </w:r>
      <w:r>
        <w:rPr/>
        <w:t>the</w:t>
      </w:r>
      <w:r>
        <w:rPr>
          <w:spacing w:val="-2"/>
        </w:rPr>
        <w:t> </w:t>
      </w:r>
      <w:r>
        <w:rPr>
          <w:i/>
        </w:rPr>
        <w:t>Copyright</w:t>
      </w:r>
      <w:r>
        <w:rPr>
          <w:i/>
          <w:spacing w:val="-3"/>
        </w:rPr>
        <w:t> </w:t>
      </w:r>
      <w:r>
        <w:rPr>
          <w:i/>
        </w:rPr>
        <w:t>Act</w:t>
      </w:r>
      <w:r>
        <w:rPr>
          <w:i/>
          <w:spacing w:val="-3"/>
        </w:rPr>
        <w:t> </w:t>
      </w:r>
      <w:r>
        <w:rPr>
          <w:i/>
        </w:rPr>
        <w:t>1968,</w:t>
      </w:r>
      <w:r>
        <w:rPr>
          <w:i/>
          <w:spacing w:val="-3"/>
        </w:rPr>
        <w:t> </w:t>
      </w:r>
      <w:r>
        <w:rPr/>
        <w:t>are</w:t>
      </w:r>
      <w:r>
        <w:rPr>
          <w:spacing w:val="-2"/>
        </w:rPr>
        <w:t> </w:t>
      </w:r>
      <w:r>
        <w:rPr/>
        <w:t>available</w:t>
      </w:r>
      <w:r>
        <w:rPr>
          <w:spacing w:val="-3"/>
        </w:rPr>
        <w:t> </w:t>
      </w:r>
      <w:r>
        <w:rPr/>
        <w:t>from</w:t>
      </w:r>
      <w:r>
        <w:rPr>
          <w:spacing w:val="-3"/>
        </w:rPr>
        <w:t> </w:t>
      </w:r>
      <w:r>
        <w:rPr/>
        <w:t>the</w:t>
      </w:r>
      <w:r>
        <w:rPr>
          <w:spacing w:val="-3"/>
        </w:rPr>
        <w:t> </w:t>
      </w:r>
      <w:r>
        <w:rPr/>
        <w:t>Australian</w:t>
      </w:r>
      <w:r>
        <w:rPr>
          <w:spacing w:val="-3"/>
        </w:rPr>
        <w:t> </w:t>
      </w:r>
      <w:r>
        <w:rPr/>
        <w:t>Government</w:t>
      </w:r>
      <w:r>
        <w:rPr>
          <w:spacing w:val="-2"/>
        </w:rPr>
        <w:t> </w:t>
      </w:r>
      <w:r>
        <w:rPr/>
        <w:t>Printing</w:t>
      </w:r>
      <w:r>
        <w:rPr>
          <w:spacing w:val="-3"/>
        </w:rPr>
        <w:t> </w:t>
      </w:r>
      <w:r>
        <w:rPr/>
        <w:t>Service. Further information about copyright may be obtained by</w:t>
      </w:r>
      <w:r>
        <w:rPr>
          <w:spacing w:val="-9"/>
        </w:rPr>
        <w:t> </w:t>
      </w:r>
      <w:r>
        <w:rPr/>
        <w:t>contacting:</w:t>
      </w:r>
    </w:p>
    <w:p>
      <w:pPr>
        <w:pStyle w:val="BodyText"/>
        <w:spacing w:line="237" w:lineRule="auto"/>
        <w:ind w:left="373" w:right="184"/>
      </w:pPr>
      <w:r>
        <w:rPr/>
        <w:pict>
          <v:shape style="position:absolute;margin-left:37.793461pt;margin-top:4.763265pt;width:2.75pt;height:2.75pt;mso-position-horizontal-relative:page;mso-position-vertical-relative:paragraph;z-index:15731200" coordorigin="756,95" coordsize="55,55" path="m801,149l765,149,756,140,756,104,765,95,801,95,810,104,810,122,810,140,801,149xe" filled="true" fillcolor="#000000" stroked="false">
            <v:path arrowok="t"/>
            <v:fill type="solid"/>
            <w10:wrap type="none"/>
          </v:shape>
        </w:pict>
      </w:r>
      <w:r>
        <w:rPr/>
        <w:t>the Intellectual Property Branch in the Attorney-General's Department which has produced a booklet on copyright law entitled 'Copyright Law in Australia: A Short Guide'. Copies may be obtained by phoning (02) 6250 6875 or by accessing the booklet electronically at the Attorney-General's Department website, Window on the</w:t>
      </w:r>
    </w:p>
    <w:p>
      <w:pPr>
        <w:pStyle w:val="BodyText"/>
        <w:spacing w:line="217" w:lineRule="exact"/>
        <w:ind w:left="373"/>
      </w:pPr>
      <w:r>
        <w:rPr/>
        <w:t>Law: </w:t>
      </w:r>
      <w:hyperlink r:id="rId5">
        <w:r>
          <w:rPr>
            <w:color w:val="0F64C7"/>
          </w:rPr>
          <w:t>https://www.ag.gov.au/RightsAndProtections/Pages/default.aspx</w:t>
        </w:r>
      </w:hyperlink>
    </w:p>
    <w:p>
      <w:pPr>
        <w:pStyle w:val="BodyText"/>
        <w:spacing w:before="3"/>
        <w:rPr>
          <w:sz w:val="16"/>
        </w:rPr>
      </w:pPr>
    </w:p>
    <w:p>
      <w:pPr>
        <w:pStyle w:val="BodyText"/>
        <w:spacing w:line="446" w:lineRule="auto" w:before="1"/>
        <w:ind w:left="108" w:right="5222" w:firstLine="265"/>
      </w:pPr>
      <w:r>
        <w:rPr/>
        <w:pict>
          <v:shape style="position:absolute;margin-left:37.793461pt;margin-top:4.902378pt;width:2.75pt;height:2.75pt;mso-position-horizontal-relative:page;mso-position-vertical-relative:paragraph;z-index:-15961600" coordorigin="756,98" coordsize="55,55" path="m801,152l765,152,756,143,756,107,765,98,801,98,810,107,810,125,810,143,801,152xe" filled="true" fillcolor="#000000" stroked="false">
            <v:path arrowok="t"/>
            <v:fill type="solid"/>
            <w10:wrap type="none"/>
          </v:shape>
        </w:pict>
      </w:r>
      <w:r>
        <w:rPr/>
        <w:t>the Australian Copyright Council who may be contacted on telephone (02) 9318 1788 or at </w:t>
      </w:r>
      <w:hyperlink r:id="rId6">
        <w:r>
          <w:rPr>
            <w:color w:val="0F64C7"/>
          </w:rPr>
          <w:t>http://www.copyright.org.au</w:t>
        </w:r>
      </w:hyperlink>
      <w:r>
        <w:rPr/>
        <w:t>. (P. Gulbransen) Acting National Manager Import/Export Management Branch</w:t>
      </w:r>
    </w:p>
    <w:p>
      <w:pPr>
        <w:pStyle w:val="BodyText"/>
        <w:spacing w:line="217" w:lineRule="exact"/>
        <w:ind w:left="108"/>
      </w:pPr>
      <w:r>
        <w:rPr/>
        <w:t>January 2000</w:t>
      </w:r>
    </w:p>
    <w:p>
      <w:pPr>
        <w:pStyle w:val="BodyText"/>
        <w:spacing w:before="11"/>
        <w:rPr>
          <w:sz w:val="26"/>
        </w:rPr>
      </w:pPr>
    </w:p>
    <w:p>
      <w:pPr>
        <w:spacing w:before="93"/>
        <w:ind w:left="108" w:right="0" w:firstLine="0"/>
        <w:jc w:val="left"/>
        <w:rPr>
          <w:b/>
          <w:sz w:val="19"/>
        </w:rPr>
      </w:pPr>
      <w:r>
        <w:rPr>
          <w:b/>
          <w:sz w:val="19"/>
          <w:u w:val="single"/>
        </w:rPr>
        <w:t>WTO MEMBERS</w:t>
      </w: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5939"/>
        <w:gridCol w:w="3369"/>
        <w:gridCol w:w="6278"/>
      </w:tblGrid>
      <w:tr>
        <w:trPr>
          <w:trHeight w:val="404" w:hRule="atLeast"/>
        </w:trPr>
        <w:tc>
          <w:tcPr>
            <w:tcW w:w="5939" w:type="dxa"/>
            <w:tcBorders>
              <w:left w:val="single" w:sz="6" w:space="0" w:color="808080"/>
            </w:tcBorders>
          </w:tcPr>
          <w:p>
            <w:pPr>
              <w:pStyle w:val="TableParagraph"/>
              <w:spacing w:before="91"/>
              <w:rPr>
                <w:sz w:val="19"/>
              </w:rPr>
            </w:pPr>
            <w:r>
              <w:rPr>
                <w:color w:val="202020"/>
                <w:sz w:val="19"/>
              </w:rPr>
              <w:t>Antigua and Barbuda</w:t>
            </w:r>
          </w:p>
        </w:tc>
        <w:tc>
          <w:tcPr>
            <w:tcW w:w="3369" w:type="dxa"/>
          </w:tcPr>
          <w:p>
            <w:pPr>
              <w:pStyle w:val="TableParagraph"/>
              <w:spacing w:before="91"/>
              <w:rPr>
                <w:sz w:val="19"/>
              </w:rPr>
            </w:pPr>
            <w:r>
              <w:rPr>
                <w:color w:val="202020"/>
                <w:sz w:val="19"/>
              </w:rPr>
              <w:t>Germany</w:t>
            </w:r>
          </w:p>
        </w:tc>
        <w:tc>
          <w:tcPr>
            <w:tcW w:w="6278" w:type="dxa"/>
            <w:tcBorders>
              <w:right w:val="nil"/>
            </w:tcBorders>
          </w:tcPr>
          <w:p>
            <w:pPr>
              <w:pStyle w:val="TableParagraph"/>
              <w:spacing w:before="91"/>
              <w:rPr>
                <w:sz w:val="19"/>
              </w:rPr>
            </w:pPr>
            <w:r>
              <w:rPr>
                <w:color w:val="202020"/>
                <w:sz w:val="19"/>
              </w:rPr>
              <w:t>Niger</w:t>
            </w:r>
          </w:p>
        </w:tc>
      </w:tr>
      <w:tr>
        <w:trPr>
          <w:trHeight w:val="404" w:hRule="atLeast"/>
        </w:trPr>
        <w:tc>
          <w:tcPr>
            <w:tcW w:w="5939" w:type="dxa"/>
            <w:tcBorders>
              <w:left w:val="single" w:sz="6" w:space="0" w:color="808080"/>
            </w:tcBorders>
          </w:tcPr>
          <w:p>
            <w:pPr>
              <w:pStyle w:val="TableParagraph"/>
              <w:spacing w:before="91"/>
              <w:rPr>
                <w:sz w:val="19"/>
              </w:rPr>
            </w:pPr>
            <w:r>
              <w:rPr>
                <w:color w:val="202020"/>
                <w:sz w:val="19"/>
              </w:rPr>
              <w:t>Angola</w:t>
            </w:r>
          </w:p>
        </w:tc>
        <w:tc>
          <w:tcPr>
            <w:tcW w:w="3369" w:type="dxa"/>
          </w:tcPr>
          <w:p>
            <w:pPr>
              <w:pStyle w:val="TableParagraph"/>
              <w:spacing w:before="91"/>
              <w:rPr>
                <w:sz w:val="19"/>
              </w:rPr>
            </w:pPr>
            <w:r>
              <w:rPr>
                <w:color w:val="202020"/>
                <w:sz w:val="19"/>
              </w:rPr>
              <w:t>Ghana</w:t>
            </w:r>
          </w:p>
        </w:tc>
        <w:tc>
          <w:tcPr>
            <w:tcW w:w="6278" w:type="dxa"/>
            <w:tcBorders>
              <w:right w:val="nil"/>
            </w:tcBorders>
          </w:tcPr>
          <w:p>
            <w:pPr>
              <w:pStyle w:val="TableParagraph"/>
              <w:spacing w:before="91"/>
              <w:rPr>
                <w:sz w:val="19"/>
              </w:rPr>
            </w:pPr>
            <w:r>
              <w:rPr>
                <w:color w:val="202020"/>
                <w:sz w:val="19"/>
              </w:rPr>
              <w:t>Nigeria</w:t>
            </w:r>
          </w:p>
        </w:tc>
      </w:tr>
      <w:tr>
        <w:trPr>
          <w:trHeight w:val="405" w:hRule="atLeast"/>
        </w:trPr>
        <w:tc>
          <w:tcPr>
            <w:tcW w:w="5939" w:type="dxa"/>
            <w:tcBorders>
              <w:left w:val="single" w:sz="6" w:space="0" w:color="808080"/>
              <w:bottom w:val="single" w:sz="2" w:space="0" w:color="C8C8C8"/>
            </w:tcBorders>
          </w:tcPr>
          <w:p>
            <w:pPr>
              <w:pStyle w:val="TableParagraph"/>
              <w:spacing w:before="91"/>
              <w:rPr>
                <w:sz w:val="19"/>
              </w:rPr>
            </w:pPr>
            <w:r>
              <w:rPr>
                <w:color w:val="202020"/>
                <w:sz w:val="19"/>
              </w:rPr>
              <w:t>Argentina</w:t>
            </w:r>
          </w:p>
        </w:tc>
        <w:tc>
          <w:tcPr>
            <w:tcW w:w="3369" w:type="dxa"/>
            <w:tcBorders>
              <w:bottom w:val="single" w:sz="2" w:space="0" w:color="C8C8C8"/>
            </w:tcBorders>
          </w:tcPr>
          <w:p>
            <w:pPr>
              <w:pStyle w:val="TableParagraph"/>
              <w:spacing w:before="91"/>
              <w:rPr>
                <w:sz w:val="19"/>
              </w:rPr>
            </w:pPr>
            <w:r>
              <w:rPr>
                <w:color w:val="202020"/>
                <w:sz w:val="19"/>
              </w:rPr>
              <w:t>Greece</w:t>
            </w:r>
          </w:p>
        </w:tc>
        <w:tc>
          <w:tcPr>
            <w:tcW w:w="6278" w:type="dxa"/>
            <w:tcBorders>
              <w:bottom w:val="single" w:sz="2" w:space="0" w:color="C8C8C8"/>
              <w:right w:val="nil"/>
            </w:tcBorders>
          </w:tcPr>
          <w:p>
            <w:pPr>
              <w:pStyle w:val="TableParagraph"/>
              <w:spacing w:before="91"/>
              <w:rPr>
                <w:sz w:val="19"/>
              </w:rPr>
            </w:pPr>
            <w:r>
              <w:rPr>
                <w:color w:val="202020"/>
                <w:sz w:val="19"/>
              </w:rPr>
              <w:t>Norway</w:t>
            </w:r>
          </w:p>
        </w:tc>
      </w:tr>
    </w:tbl>
    <w:p>
      <w:pPr>
        <w:spacing w:after="0"/>
        <w:rPr>
          <w:sz w:val="19"/>
        </w:rPr>
        <w:sectPr>
          <w:type w:val="continuous"/>
          <w:pgSz w:w="16840" w:h="11900" w:orient="landscape"/>
          <w:pgMar w:top="6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939"/>
        <w:gridCol w:w="3369"/>
        <w:gridCol w:w="6278"/>
      </w:tblGrid>
      <w:tr>
        <w:trPr>
          <w:trHeight w:val="378" w:hRule="atLeast"/>
        </w:trPr>
        <w:tc>
          <w:tcPr>
            <w:tcW w:w="5939" w:type="dxa"/>
            <w:tcBorders>
              <w:top w:val="nil"/>
              <w:bottom w:val="single" w:sz="6" w:space="0" w:color="C8C8C8"/>
              <w:right w:val="single" w:sz="6" w:space="0" w:color="C8C8C8"/>
            </w:tcBorders>
          </w:tcPr>
          <w:p>
            <w:pPr>
              <w:pStyle w:val="TableParagraph"/>
              <w:spacing w:before="58"/>
              <w:rPr>
                <w:sz w:val="19"/>
              </w:rPr>
            </w:pPr>
            <w:r>
              <w:rPr>
                <w:color w:val="202020"/>
                <w:sz w:val="19"/>
              </w:rPr>
              <w:t>Australia</w:t>
            </w:r>
          </w:p>
        </w:tc>
        <w:tc>
          <w:tcPr>
            <w:tcW w:w="3369" w:type="dxa"/>
            <w:tcBorders>
              <w:top w:val="nil"/>
              <w:left w:val="single" w:sz="6" w:space="0" w:color="C8C8C8"/>
              <w:bottom w:val="single" w:sz="6" w:space="0" w:color="C8C8C8"/>
              <w:right w:val="single" w:sz="6" w:space="0" w:color="C8C8C8"/>
            </w:tcBorders>
          </w:tcPr>
          <w:p>
            <w:pPr>
              <w:pStyle w:val="TableParagraph"/>
              <w:spacing w:before="58"/>
              <w:rPr>
                <w:sz w:val="19"/>
              </w:rPr>
            </w:pPr>
            <w:r>
              <w:rPr>
                <w:color w:val="202020"/>
                <w:sz w:val="19"/>
              </w:rPr>
              <w:t>Grenada</w:t>
            </w:r>
          </w:p>
        </w:tc>
        <w:tc>
          <w:tcPr>
            <w:tcW w:w="6278" w:type="dxa"/>
            <w:tcBorders>
              <w:top w:val="nil"/>
              <w:left w:val="single" w:sz="6" w:space="0" w:color="C8C8C8"/>
              <w:bottom w:val="single" w:sz="6" w:space="0" w:color="C8C8C8"/>
              <w:right w:val="nil"/>
            </w:tcBorders>
          </w:tcPr>
          <w:p>
            <w:pPr>
              <w:pStyle w:val="TableParagraph"/>
              <w:spacing w:before="58"/>
              <w:rPr>
                <w:sz w:val="19"/>
              </w:rPr>
            </w:pPr>
            <w:r>
              <w:rPr>
                <w:color w:val="202020"/>
                <w:sz w:val="19"/>
              </w:rPr>
              <w:t>Pakistan</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Austria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Guatemala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Panama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Bahrain</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Guinea Bissau</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Papua New Guinea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Bangladesh</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Guinea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Paraguay</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Barbados</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Guyana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Peru</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Belgium</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Haiti</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Philippines</w:t>
            </w:r>
          </w:p>
        </w:tc>
      </w:tr>
      <w:tr>
        <w:trPr>
          <w:trHeight w:val="715" w:hRule="atLeast"/>
        </w:trPr>
        <w:tc>
          <w:tcPr>
            <w:tcW w:w="5939" w:type="dxa"/>
            <w:tcBorders>
              <w:top w:val="single" w:sz="6" w:space="0" w:color="C8C8C8"/>
              <w:bottom w:val="single" w:sz="6" w:space="0" w:color="C8C8C8"/>
              <w:right w:val="single" w:sz="6" w:space="0" w:color="C8C8C8"/>
            </w:tcBorders>
          </w:tcPr>
          <w:p>
            <w:pPr>
              <w:pStyle w:val="TableParagraph"/>
              <w:spacing w:before="98"/>
              <w:rPr>
                <w:sz w:val="19"/>
              </w:rPr>
            </w:pPr>
            <w:r>
              <w:rPr>
                <w:color w:val="202020"/>
                <w:sz w:val="19"/>
              </w:rPr>
              <w:t>Belize</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Honduras</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Poland</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Benin</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Hong Kong, China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Portugal</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Bolivia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Hungary</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Qatar</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Botswana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Iceland</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Romania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Brazil</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India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Rwanda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Brunei Darussalam</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Indonesia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Saint Kitts and Nevis</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Bulgaria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Ireland</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Saint Lucia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Burkina Faso</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Israel</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Saint Vincent &amp;amp; the Grenadines</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Burundi</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Italy</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Senegal</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Cameroon</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Jamaica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Sierra Leone</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Canada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Japan</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Singapore</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Central African Republic</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Kenya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Slovak Republic</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Chad</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Korea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Slovenia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Chile</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Kuwait</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Solomon Islands</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Colombia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Lesotho</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South Africa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Congo</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Liechtenstein</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Spain</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Costa Rica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Luxemburg</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Sri Lanka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Cote d'Ivoire</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Macau</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Suriname</w:t>
            </w:r>
          </w:p>
        </w:tc>
      </w:tr>
      <w:tr>
        <w:trPr>
          <w:trHeight w:val="405" w:hRule="atLeast"/>
        </w:trPr>
        <w:tc>
          <w:tcPr>
            <w:tcW w:w="5939" w:type="dxa"/>
            <w:tcBorders>
              <w:top w:val="single" w:sz="6" w:space="0" w:color="C8C8C8"/>
              <w:bottom w:val="single" w:sz="2" w:space="0" w:color="C8C8C8"/>
              <w:right w:val="single" w:sz="6" w:space="0" w:color="C8C8C8"/>
            </w:tcBorders>
          </w:tcPr>
          <w:p>
            <w:pPr>
              <w:pStyle w:val="TableParagraph"/>
              <w:rPr>
                <w:sz w:val="19"/>
              </w:rPr>
            </w:pPr>
            <w:r>
              <w:rPr>
                <w:color w:val="202020"/>
                <w:sz w:val="19"/>
              </w:rPr>
              <w:t>Cuba</w:t>
            </w:r>
          </w:p>
        </w:tc>
        <w:tc>
          <w:tcPr>
            <w:tcW w:w="3369" w:type="dxa"/>
            <w:tcBorders>
              <w:top w:val="single" w:sz="6" w:space="0" w:color="C8C8C8"/>
              <w:left w:val="single" w:sz="6" w:space="0" w:color="C8C8C8"/>
              <w:bottom w:val="single" w:sz="2" w:space="0" w:color="C8C8C8"/>
              <w:right w:val="single" w:sz="6" w:space="0" w:color="C8C8C8"/>
            </w:tcBorders>
          </w:tcPr>
          <w:p>
            <w:pPr>
              <w:pStyle w:val="TableParagraph"/>
              <w:rPr>
                <w:sz w:val="19"/>
              </w:rPr>
            </w:pPr>
            <w:r>
              <w:rPr>
                <w:color w:val="202020"/>
                <w:sz w:val="19"/>
              </w:rPr>
              <w:t>Madagascar</w:t>
            </w:r>
          </w:p>
        </w:tc>
        <w:tc>
          <w:tcPr>
            <w:tcW w:w="6278" w:type="dxa"/>
            <w:tcBorders>
              <w:top w:val="single" w:sz="6" w:space="0" w:color="C8C8C8"/>
              <w:left w:val="single" w:sz="6" w:space="0" w:color="C8C8C8"/>
              <w:bottom w:val="single" w:sz="2" w:space="0" w:color="C8C8C8"/>
              <w:right w:val="nil"/>
            </w:tcBorders>
          </w:tcPr>
          <w:p>
            <w:pPr>
              <w:pStyle w:val="TableParagraph"/>
              <w:rPr>
                <w:sz w:val="19"/>
              </w:rPr>
            </w:pPr>
            <w:r>
              <w:rPr>
                <w:color w:val="202020"/>
                <w:sz w:val="19"/>
              </w:rPr>
              <w:t>Swaziland</w:t>
            </w:r>
          </w:p>
        </w:tc>
      </w:tr>
    </w:tbl>
    <w:p>
      <w:pPr>
        <w:spacing w:after="0"/>
        <w:rPr>
          <w:sz w:val="19"/>
        </w:rPr>
        <w:sectPr>
          <w:pgSz w:w="16840" w:h="11900" w:orient="landscape"/>
          <w:pgMar w:top="580" w:bottom="280" w:left="580" w:right="440"/>
        </w:sectPr>
      </w:pPr>
    </w:p>
    <w:tbl>
      <w:tblPr>
        <w:tblW w:w="0" w:type="auto"/>
        <w:jc w:val="left"/>
        <w:tblInd w:w="123"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5939"/>
        <w:gridCol w:w="3369"/>
        <w:gridCol w:w="6278"/>
      </w:tblGrid>
      <w:tr>
        <w:trPr>
          <w:trHeight w:val="378" w:hRule="atLeast"/>
        </w:trPr>
        <w:tc>
          <w:tcPr>
            <w:tcW w:w="5939" w:type="dxa"/>
            <w:tcBorders>
              <w:top w:val="nil"/>
              <w:bottom w:val="single" w:sz="6" w:space="0" w:color="C8C8C8"/>
              <w:right w:val="single" w:sz="6" w:space="0" w:color="C8C8C8"/>
            </w:tcBorders>
          </w:tcPr>
          <w:p>
            <w:pPr>
              <w:pStyle w:val="TableParagraph"/>
              <w:spacing w:before="58"/>
              <w:rPr>
                <w:sz w:val="19"/>
              </w:rPr>
            </w:pPr>
            <w:r>
              <w:rPr>
                <w:color w:val="202020"/>
                <w:sz w:val="19"/>
              </w:rPr>
              <w:t>Cyprus</w:t>
            </w:r>
          </w:p>
        </w:tc>
        <w:tc>
          <w:tcPr>
            <w:tcW w:w="3369" w:type="dxa"/>
            <w:tcBorders>
              <w:top w:val="nil"/>
              <w:left w:val="single" w:sz="6" w:space="0" w:color="C8C8C8"/>
              <w:bottom w:val="single" w:sz="6" w:space="0" w:color="C8C8C8"/>
              <w:right w:val="single" w:sz="6" w:space="0" w:color="C8C8C8"/>
            </w:tcBorders>
          </w:tcPr>
          <w:p>
            <w:pPr>
              <w:pStyle w:val="TableParagraph"/>
              <w:spacing w:before="58"/>
              <w:rPr>
                <w:sz w:val="19"/>
              </w:rPr>
            </w:pPr>
            <w:r>
              <w:rPr>
                <w:color w:val="202020"/>
                <w:sz w:val="19"/>
              </w:rPr>
              <w:t>Malawi</w:t>
            </w:r>
          </w:p>
        </w:tc>
        <w:tc>
          <w:tcPr>
            <w:tcW w:w="6278" w:type="dxa"/>
            <w:tcBorders>
              <w:top w:val="nil"/>
              <w:left w:val="single" w:sz="6" w:space="0" w:color="C8C8C8"/>
              <w:bottom w:val="single" w:sz="6" w:space="0" w:color="C8C8C8"/>
              <w:right w:val="nil"/>
            </w:tcBorders>
          </w:tcPr>
          <w:p>
            <w:pPr>
              <w:pStyle w:val="TableParagraph"/>
              <w:spacing w:before="58"/>
              <w:rPr>
                <w:sz w:val="19"/>
              </w:rPr>
            </w:pPr>
            <w:r>
              <w:rPr>
                <w:color w:val="202020"/>
                <w:sz w:val="19"/>
              </w:rPr>
              <w:t>Sweden</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Czech Republic</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Malaysia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Switzerland</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Democratic Republic of the Congo</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Maldives</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Tanzania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Denmark</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Mali</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Thailand</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Djibouti</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Malta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Togo</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Dominica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Mauritania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Trinidad and Tobago</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Dominican Republic</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Mauritius</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Tunisia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Ecuador</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Mexico</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Turkey</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Egypt</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Mongolia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Uganda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El Salvador</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Morocco</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United Arab Emirates</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European Communities</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Mozambique</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United Kingdom</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Fiji</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Myanmar</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United States</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Finland</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Namibia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Uruguay</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France</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Netherlands</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Venezuela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Gabon</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New Zealand</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Zambia</w:t>
            </w:r>
          </w:p>
        </w:tc>
      </w:tr>
      <w:tr>
        <w:trPr>
          <w:trHeight w:val="404" w:hRule="atLeast"/>
        </w:trPr>
        <w:tc>
          <w:tcPr>
            <w:tcW w:w="5939" w:type="dxa"/>
            <w:tcBorders>
              <w:top w:val="single" w:sz="6" w:space="0" w:color="C8C8C8"/>
              <w:bottom w:val="single" w:sz="6" w:space="0" w:color="C8C8C8"/>
              <w:right w:val="single" w:sz="6" w:space="0" w:color="C8C8C8"/>
            </w:tcBorders>
          </w:tcPr>
          <w:p>
            <w:pPr>
              <w:pStyle w:val="TableParagraph"/>
              <w:rPr>
                <w:sz w:val="19"/>
              </w:rPr>
            </w:pPr>
            <w:r>
              <w:rPr>
                <w:color w:val="202020"/>
                <w:sz w:val="19"/>
              </w:rPr>
              <w:t>Gambia</w:t>
            </w:r>
          </w:p>
        </w:tc>
        <w:tc>
          <w:tcPr>
            <w:tcW w:w="3369" w:type="dxa"/>
            <w:tcBorders>
              <w:top w:val="single" w:sz="6" w:space="0" w:color="C8C8C8"/>
              <w:left w:val="single" w:sz="6" w:space="0" w:color="C8C8C8"/>
              <w:bottom w:val="single" w:sz="6" w:space="0" w:color="C8C8C8"/>
              <w:right w:val="single" w:sz="6" w:space="0" w:color="C8C8C8"/>
            </w:tcBorders>
          </w:tcPr>
          <w:p>
            <w:pPr>
              <w:pStyle w:val="TableParagraph"/>
              <w:rPr>
                <w:sz w:val="19"/>
              </w:rPr>
            </w:pPr>
            <w:r>
              <w:rPr>
                <w:color w:val="202020"/>
                <w:sz w:val="19"/>
              </w:rPr>
              <w:t>Nicaragua</w:t>
            </w:r>
          </w:p>
        </w:tc>
        <w:tc>
          <w:tcPr>
            <w:tcW w:w="6278" w:type="dxa"/>
            <w:tcBorders>
              <w:top w:val="single" w:sz="6" w:space="0" w:color="C8C8C8"/>
              <w:left w:val="single" w:sz="6" w:space="0" w:color="C8C8C8"/>
              <w:bottom w:val="single" w:sz="6" w:space="0" w:color="C8C8C8"/>
              <w:right w:val="nil"/>
            </w:tcBorders>
          </w:tcPr>
          <w:p>
            <w:pPr>
              <w:pStyle w:val="TableParagraph"/>
              <w:rPr>
                <w:sz w:val="19"/>
              </w:rPr>
            </w:pPr>
            <w:r>
              <w:rPr>
                <w:color w:val="202020"/>
                <w:sz w:val="19"/>
              </w:rPr>
              <w:t>Zimbabwe</w:t>
            </w:r>
          </w:p>
        </w:tc>
      </w:tr>
    </w:tbl>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85"/>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ag.gov.au/RightsAndProtections/Pages/default.aspx" TargetMode="External"/><Relationship Id="rId6" Type="http://schemas.openxmlformats.org/officeDocument/2006/relationships/hyperlink" Target="http://www.copyright.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2020-12-09T22:58:01Z</dcterms:created>
  <dcterms:modified xsi:type="dcterms:W3CDTF">2020-12-09T22:58:01Z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