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05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  <w:ind w:left="100"/>
      </w:pPr>
      <w:r>
        <w:rPr/>
        <w:pict>
          <v:rect style="position:absolute;margin-left:47.75pt;margin-top:26.198877pt;width:3pt;height:85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 has applied to the Chief Executive Officer for a customs brokers licence.</w:t>
      </w:r>
    </w:p>
    <w:p>
      <w:pPr>
        <w:spacing w:before="191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36.762402pt;width:3pt;height:24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Georgia"/>
          <w:color w:val="585858"/>
          <w:w w:val="110"/>
          <w:sz w:val="25"/>
        </w:rPr>
        <w:t>NEW SOUTH WALES </w:t>
      </w:r>
      <w:r>
        <w:rPr>
          <w:rFonts w:ascii="Georgia"/>
          <w:i/>
          <w:color w:val="585858"/>
          <w:w w:val="110"/>
          <w:sz w:val="25"/>
        </w:rPr>
        <w:t>Bradley Troy</w:t>
      </w: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rPr>
          <w:rFonts w:ascii="Georgia"/>
          <w:i/>
          <w:sz w:val="28"/>
        </w:rPr>
      </w:pPr>
    </w:p>
    <w:p>
      <w:pPr>
        <w:pStyle w:val="BodyText"/>
        <w:spacing w:before="216"/>
        <w:ind w:left="100" w:right="479"/>
      </w:pPr>
      <w:r>
        <w:rPr/>
        <w:pict>
          <v:rect style="position:absolute;margin-left:47.75pt;margin-top:34.898876pt;width:3pt;height:48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spacing w:before="189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Australian Customs Service Customs Brokers Licensing Group 5 Constitution Avenue CANBERRA ACT 2601</w:t>
      </w:r>
    </w:p>
    <w:p>
      <w:pPr>
        <w:pStyle w:val="BodyText"/>
        <w:rPr>
          <w:rFonts w:ascii="Georgia"/>
          <w:i/>
          <w:sz w:val="40"/>
        </w:rPr>
      </w:pPr>
    </w:p>
    <w:p>
      <w:pPr>
        <w:pStyle w:val="BodyText"/>
        <w:ind w:left="100"/>
      </w:pPr>
      <w:r>
        <w:rPr/>
        <w:t>by 24 February 2000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46" w:lineRule="auto" w:before="1"/>
        <w:ind w:left="100" w:right="2388"/>
      </w:pPr>
      <w:r>
        <w:rPr/>
        <w:t>J H Jeffery Deputy Chief Executive Officer Commercial for Chief Executive Officer 19 January, 2000</w:t>
      </w:r>
    </w:p>
    <w:sectPr>
      <w:type w:val="continuous"/>
      <w:pgSz w:w="11900" w:h="16840"/>
      <w:pgMar w:top="700" w:bottom="280" w:left="6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2020-12-09T22:51:51Z</dcterms:created>
  <dcterms:modified xsi:type="dcterms:W3CDTF">2020-12-09T22:51:51Z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